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rFonts w:eastAsia="" w:cs="" w:ascii="Arial" w:hAnsi="Arial" w:cstheme="majorBidi" w:eastAsiaTheme="majorEastAsia"/>
          <w:b/>
          <w:bCs/>
          <w:color w:val="345A8A" w:themeColor="accent1" w:themeShade="b5"/>
          <w:sz w:val="36"/>
          <w:szCs w:val="36"/>
        </w:rPr>
        <w:t>Supplements for P</w:t>
      </w:r>
      <w:r>
        <w:rPr>
          <w:rFonts w:ascii="Arial" w:hAnsi="Arial"/>
        </w:rPr>
        <w:t>r</w:t>
      </w:r>
      <w:r>
        <w:rPr>
          <w:rFonts w:eastAsia="" w:cs="" w:ascii="Arial" w:hAnsi="Arial" w:cstheme="majorBidi" w:eastAsiaTheme="majorEastAsia"/>
          <w:b/>
          <w:bCs/>
          <w:color w:val="345A8A" w:themeColor="accent1" w:themeShade="b5"/>
          <w:sz w:val="36"/>
          <w:szCs w:val="36"/>
        </w:rPr>
        <w:t>ogression</w:t>
      </w:r>
      <w:r>
        <w:rPr>
          <w:rFonts w:eastAsia="" w:cs="" w:ascii="Arial" w:hAnsi="Arial" w:cstheme="majorBidi" w:eastAsiaTheme="majorEastAsia"/>
          <w:b/>
          <w:bCs/>
          <w:color w:val="345A8A" w:themeColor="accent1" w:themeShade="b5"/>
          <w:sz w:val="36"/>
          <w:szCs w:val="36"/>
        </w:rPr>
        <w:t xml:space="preserve"> of white matter </w:t>
      </w:r>
      <w:r>
        <w:rPr>
          <w:rFonts w:ascii="Arial" w:hAnsi="Arial"/>
        </w:rPr>
        <w:t>hyperintensities is related to blood pressure increases and global cognitive decline – a registered report</w:t>
      </w:r>
    </w:p>
    <w:p>
      <w:pPr>
        <w:pStyle w:val="Author"/>
        <w:rPr>
          <w:rFonts w:ascii="Arial" w:hAnsi="Arial"/>
        </w:rPr>
      </w:pPr>
      <w:r>
        <w:rPr>
          <w:rFonts w:ascii="Arial" w:hAnsi="Arial"/>
          <w:lang w:val="de-DE"/>
        </w:rPr>
        <w:t>Frauke Beyer</w:t>
      </w:r>
      <w:r>
        <w:rPr>
          <w:rFonts w:ascii="Arial" w:hAnsi="Arial"/>
          <w:vertAlign w:val="superscript"/>
          <w:lang w:val="de-DE"/>
        </w:rPr>
        <w:t>1,2</w:t>
      </w:r>
    </w:p>
    <w:p>
      <w:pPr>
        <w:pStyle w:val="Author"/>
        <w:rPr>
          <w:rFonts w:ascii="Arial" w:hAnsi="Arial"/>
        </w:rPr>
      </w:pPr>
      <w:r>
        <w:rPr>
          <w:rFonts w:ascii="Arial" w:hAnsi="Arial"/>
          <w:lang w:val="de-DE"/>
        </w:rPr>
        <w:t>Laurenz Lammer</w:t>
      </w:r>
      <w:r>
        <w:rPr>
          <w:rFonts w:ascii="Arial" w:hAnsi="Arial"/>
          <w:vertAlign w:val="superscript"/>
          <w:lang w:val="de-DE"/>
        </w:rPr>
        <w:t>2</w:t>
      </w:r>
    </w:p>
    <w:p>
      <w:pPr>
        <w:pStyle w:val="Author"/>
        <w:rPr>
          <w:rFonts w:ascii="Arial" w:hAnsi="Arial"/>
        </w:rPr>
      </w:pPr>
      <w:r>
        <w:rPr>
          <w:rFonts w:ascii="Arial" w:hAnsi="Arial"/>
          <w:lang w:val="de-DE"/>
        </w:rPr>
        <w:t>Markus Loeffler</w:t>
      </w:r>
      <w:r>
        <w:rPr>
          <w:rFonts w:ascii="Arial" w:hAnsi="Arial"/>
          <w:vertAlign w:val="superscript"/>
          <w:lang w:val="de-DE"/>
        </w:rPr>
        <w:t>4,5</w:t>
      </w:r>
    </w:p>
    <w:p>
      <w:pPr>
        <w:pStyle w:val="Author"/>
        <w:rPr>
          <w:rFonts w:ascii="Arial" w:hAnsi="Arial"/>
        </w:rPr>
      </w:pPr>
      <w:r>
        <w:rPr>
          <w:rFonts w:ascii="Arial" w:hAnsi="Arial"/>
          <w:lang w:val="de-DE"/>
        </w:rPr>
        <w:t>Steffi Riedel-Heller</w:t>
      </w:r>
      <w:r>
        <w:rPr>
          <w:rFonts w:ascii="Arial" w:hAnsi="Arial"/>
          <w:vertAlign w:val="superscript"/>
          <w:lang w:val="de-DE"/>
        </w:rPr>
        <w:t>5,6</w:t>
      </w:r>
    </w:p>
    <w:p>
      <w:pPr>
        <w:pStyle w:val="Author"/>
        <w:rPr>
          <w:rFonts w:ascii="Arial" w:hAnsi="Arial"/>
        </w:rPr>
      </w:pPr>
      <w:r>
        <w:rPr>
          <w:rFonts w:ascii="Arial" w:hAnsi="Arial"/>
          <w:lang w:val="de-DE"/>
        </w:rPr>
        <w:t>Stéphanie Debette</w:t>
      </w:r>
      <w:r>
        <w:rPr>
          <w:rFonts w:ascii="Arial" w:hAnsi="Arial"/>
          <w:vertAlign w:val="superscript"/>
          <w:lang w:val="de-DE"/>
        </w:rPr>
        <w:t>1</w:t>
      </w:r>
    </w:p>
    <w:p>
      <w:pPr>
        <w:pStyle w:val="Author"/>
        <w:rPr>
          <w:rFonts w:ascii="Arial" w:hAnsi="Arial"/>
        </w:rPr>
      </w:pPr>
      <w:r>
        <w:rPr>
          <w:rFonts w:ascii="Arial" w:hAnsi="Arial"/>
          <w:lang w:val="de-DE"/>
        </w:rPr>
        <w:t>Arno Villringer</w:t>
      </w:r>
      <w:r>
        <w:rPr>
          <w:rFonts w:ascii="Arial" w:hAnsi="Arial"/>
          <w:vertAlign w:val="superscript"/>
          <w:lang w:val="de-DE"/>
        </w:rPr>
        <w:t>2,7</w:t>
      </w:r>
    </w:p>
    <w:p>
      <w:pPr>
        <w:pStyle w:val="Author"/>
        <w:rPr>
          <w:rFonts w:ascii="Arial" w:hAnsi="Arial"/>
        </w:rPr>
      </w:pPr>
      <w:r>
        <w:rPr>
          <w:rFonts w:ascii="Arial" w:hAnsi="Arial"/>
        </w:rPr>
        <w:t>A. Veronica Witte</w:t>
      </w:r>
      <w:r>
        <w:rPr>
          <w:rFonts w:ascii="Arial" w:hAnsi="Arial"/>
          <w:vertAlign w:val="superscript"/>
        </w:rPr>
        <w:t>2,3,7</w:t>
      </w:r>
    </w:p>
    <w:p>
      <w:pPr>
        <w:pStyle w:val="Date"/>
        <w:ind w:left="0" w:hanging="0"/>
        <w:rPr>
          <w:rFonts w:ascii="Arial" w:hAnsi="Arial"/>
        </w:rPr>
      </w:pPr>
      <w:r>
        <w:rPr>
          <w:rFonts w:ascii="Arial" w:hAnsi="Arial"/>
        </w:rPr>
        <w:t xml:space="preserve"> </w:t>
      </w:r>
      <w:r>
        <w:rPr>
          <w:rFonts w:ascii="Arial" w:hAnsi="Arial"/>
        </w:rPr>
        <w:t xml:space="preserve">1 Bordeaux Population Health Research Center, University of Bordeaux, Inserm, UMR 1219, Bordeaux, France </w:t>
        <w:br/>
        <w:t xml:space="preserve">2 Department of Neurology, Max Planck Institute for Human Cognitive and Brain Sciences, Leipzig </w:t>
        <w:br/>
        <w:t xml:space="preserve">3 CRC 1052 “Obesity Mechanisms”, Subproject A1, University of Leipzig </w:t>
        <w:br/>
        <w:t xml:space="preserve">4 Institute for Medical Informatics, Statistics and Epidemiology; University of Leipzig </w:t>
        <w:br/>
        <w:t xml:space="preserve">5 Leipzig Research Centre for Civilisation Diseases (LIFE), Leipzig </w:t>
        <w:br/>
        <w:t xml:space="preserve">6 Institute of Social Medicine, Occupational Health and Public Health, University of Leipzig , Leipzig </w:t>
        <w:br/>
        <w:t>7 Day Clinic for Cognitive Neurology, University Hospital Leipzig, University of Leipzig</w:t>
      </w:r>
    </w:p>
    <w:p>
      <w:pPr>
        <w:pStyle w:val="TextBody"/>
        <w:rPr>
          <w:rFonts w:ascii="Arial" w:hAnsi="Arial"/>
        </w:rPr>
      </w:pPr>
      <w:r>
        <w:rPr>
          <w:rFonts w:ascii="Arial" w:hAnsi="Arial"/>
        </w:rPr>
      </w:r>
    </w:p>
    <w:p>
      <w:pPr>
        <w:pStyle w:val="Normal"/>
        <w:rPr/>
      </w:pPr>
      <w:r>
        <w:rPr/>
      </w:r>
      <w:r>
        <w:br w:type="page"/>
      </w:r>
    </w:p>
    <w:p>
      <w:pPr>
        <w:pStyle w:val="Heading1"/>
        <w:rPr/>
      </w:pPr>
      <w:r>
        <w:rPr/>
        <w:t>Missing data pattern</w:t>
      </w:r>
    </w:p>
    <w:p>
      <w:pPr>
        <w:pStyle w:val="FirstParagraph"/>
        <w:rPr/>
      </w:pPr>
      <w:r>
        <w:rPr/>
        <w:drawing>
          <wp:inline distT="0" distB="0" distL="114935" distR="114935">
            <wp:extent cx="4620260" cy="3696335"/>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2"/>
                    <a:stretch>
                      <a:fillRect/>
                    </a:stretch>
                  </pic:blipFill>
                  <pic:spPr bwMode="auto">
                    <a:xfrm>
                      <a:off x="0" y="0"/>
                      <a:ext cx="4620260" cy="3696335"/>
                    </a:xfrm>
                    <a:prstGeom prst="rect">
                      <a:avLst/>
                    </a:prstGeom>
                  </pic:spPr>
                </pic:pic>
              </a:graphicData>
            </a:graphic>
          </wp:inline>
        </w:drawing>
      </w:r>
      <w:r>
        <w:rPr/>
        <w:t xml:space="preserve"> </w:t>
      </w:r>
      <w:bookmarkStart w:id="0" w:name="missing-data-pattern"/>
      <w:bookmarkEnd w:id="0"/>
    </w:p>
    <w:p>
      <w:pPr>
        <w:pStyle w:val="Heading1"/>
        <w:rPr/>
      </w:pPr>
      <w:r>
        <w:rPr/>
      </w:r>
      <w:r>
        <w:br w:type="page"/>
      </w:r>
    </w:p>
    <w:p>
      <w:pPr>
        <w:pStyle w:val="Heading1"/>
        <w:rPr/>
      </w:pPr>
      <w:r>
        <w:rPr/>
        <w:t>Comparison to a change score model</w:t>
      </w:r>
    </w:p>
    <w:p>
      <w:pPr>
        <w:pStyle w:val="FirstParagraph"/>
        <w:rPr/>
      </w:pPr>
      <w:r>
        <w:rPr/>
        <w:t>We compared our results from the mixed effect model with the approach taken in Debette et al. (</w:t>
      </w:r>
      <w:hyperlink w:anchor="ref-debette11">
        <w:r>
          <w:rPr>
            <w:rStyle w:val="InternetLink"/>
          </w:rPr>
          <w:t>2011</w:t>
        </w:r>
      </w:hyperlink>
      <w:r>
        <w:rPr/>
        <w:t>) using change in raw WMH volume or asinh-transformed WMH volume as outcome measure in a linear model (see Table 1). In the change score model with raw WMH volume as outcome, higher DBP at baseline was associated with WMH progression, this was attenuated when using asinh-transformed WMH as outcome. Comparing the model assumptions of the original model (Figure 1 with the change score models for raw and asinh-transformed WMH (Figures 2 and 3), we noticed that the assumptions are not well fulfilled for the change score model.</w:t>
      </w:r>
    </w:p>
    <w:p>
      <w:pPr>
        <w:pStyle w:val="Normal"/>
        <w:rPr/>
      </w:pPr>
      <w:r>
        <w:rPr/>
      </w:r>
      <w:r>
        <w:br w:type="page"/>
      </w:r>
    </w:p>
    <w:p>
      <w:pPr>
        <w:pStyle w:val="TableCaption"/>
        <w:rPr/>
      </w:pPr>
      <w:bookmarkStart w:id="1" w:name="tab%3Adbplinear"/>
      <w:bookmarkEnd w:id="1"/>
      <w:r>
        <w:rPr/>
        <w:t>Table 1: Results for DBP baseline and change from linear models using change in raw WMH or asinh-transformed WMH as outcome</w:t>
      </w:r>
    </w:p>
    <w:tbl>
      <w:tblPr>
        <w:tblW w:w="4000" w:type="pct"/>
        <w:jc w:val="center"/>
        <w:tblInd w:w="0" w:type="dxa"/>
        <w:tblLayout w:type="fixed"/>
        <w:tblCellMar>
          <w:top w:w="0" w:type="dxa"/>
          <w:left w:w="0" w:type="dxa"/>
          <w:bottom w:w="0" w:type="dxa"/>
          <w:right w:w="0" w:type="dxa"/>
        </w:tblCellMar>
        <w:tblLook w:noHBand="0" w:noVBand="1" w:firstColumn="0" w:lastRow="0" w:lastColumn="0" w:firstRow="1"/>
      </w:tblPr>
      <w:tblGrid>
        <w:gridCol w:w="1497"/>
        <w:gridCol w:w="1498"/>
        <w:gridCol w:w="1497"/>
        <w:gridCol w:w="1498"/>
        <w:gridCol w:w="1498"/>
      </w:tblGrid>
      <w:tr>
        <w:trPr>
          <w:tblHeader w:val="true"/>
          <w:trHeight w:val="633" w:hRule="atLeast"/>
        </w:trPr>
        <w:tc>
          <w:tcPr>
            <w:tcW w:w="1497" w:type="dxa"/>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98"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 xml:space="preserve">Raw WMH: Estimate </w:t>
              <w:br/>
              <w:t>[95 % CI]</w:t>
            </w:r>
          </w:p>
        </w:tc>
        <w:tc>
          <w:tcPr>
            <w:tcW w:w="1497"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Raw WMH: p-value</w:t>
            </w:r>
          </w:p>
        </w:tc>
        <w:tc>
          <w:tcPr>
            <w:tcW w:w="1498"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 xml:space="preserve">asinh WMH: Estimate </w:t>
              <w:br/>
              <w:t>[95 % CI]</w:t>
            </w:r>
          </w:p>
        </w:tc>
        <w:tc>
          <w:tcPr>
            <w:tcW w:w="1498"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asinh WMH: p-value</w:t>
            </w:r>
          </w:p>
        </w:tc>
      </w:tr>
      <w:tr>
        <w:trPr>
          <w:trHeight w:val="360" w:hRule="atLeast"/>
        </w:trPr>
        <w:tc>
          <w:tcPr>
            <w:tcW w:w="1497"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Age at baseline</w:t>
            </w:r>
          </w:p>
        </w:tc>
        <w:tc>
          <w:tcPr>
            <w:tcW w:w="1498"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0.102 [0.081, 0.122]</w:t>
            </w:r>
          </w:p>
        </w:tc>
        <w:tc>
          <w:tcPr>
            <w:tcW w:w="1497"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&lt;0.001</w:t>
            </w:r>
          </w:p>
        </w:tc>
        <w:tc>
          <w:tcPr>
            <w:tcW w:w="1498"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0.003 [0.002, 0.003]</w:t>
            </w:r>
          </w:p>
        </w:tc>
        <w:tc>
          <w:tcPr>
            <w:tcW w:w="1498"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&lt;0.001</w:t>
            </w:r>
          </w:p>
        </w:tc>
      </w:tr>
      <w:tr>
        <w:trPr>
          <w:trHeight w:val="360" w:hRule="atLeast"/>
        </w:trPr>
        <w:tc>
          <w:tcPr>
            <w:tcW w:w="1497"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Time between baseline and followup</w:t>
            </w:r>
          </w:p>
        </w:tc>
        <w:tc>
          <w:tcPr>
            <w:tcW w:w="1498"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-0.080 [-0.361, 0.201]</w:t>
            </w:r>
          </w:p>
        </w:tc>
        <w:tc>
          <w:tcPr>
            <w:tcW w:w="1497"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0.576</w:t>
            </w:r>
          </w:p>
        </w:tc>
        <w:tc>
          <w:tcPr>
            <w:tcW w:w="1498"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-0.002 [-0.009, 0.004]</w:t>
            </w:r>
          </w:p>
        </w:tc>
        <w:tc>
          <w:tcPr>
            <w:tcW w:w="1498"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0.491</w:t>
            </w:r>
          </w:p>
        </w:tc>
      </w:tr>
      <w:tr>
        <w:trPr>
          <w:trHeight w:val="360" w:hRule="atLeast"/>
        </w:trPr>
        <w:tc>
          <w:tcPr>
            <w:tcW w:w="1497"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DBP at baseline baseline</w:t>
            </w:r>
          </w:p>
        </w:tc>
        <w:tc>
          <w:tcPr>
            <w:tcW w:w="1498"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0.056 [0.035, 0.076]</w:t>
            </w:r>
          </w:p>
        </w:tc>
        <w:tc>
          <w:tcPr>
            <w:tcW w:w="1497"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&lt;0.001</w:t>
            </w:r>
          </w:p>
        </w:tc>
        <w:tc>
          <w:tcPr>
            <w:tcW w:w="1498"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0.001 [0.000, 0.001]</w:t>
            </w:r>
          </w:p>
        </w:tc>
        <w:tc>
          <w:tcPr>
            <w:tcW w:w="1498"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0.030</w:t>
            </w:r>
          </w:p>
        </w:tc>
      </w:tr>
      <w:tr>
        <w:trPr>
          <w:trHeight w:val="360" w:hRule="atLeast"/>
        </w:trPr>
        <w:tc>
          <w:tcPr>
            <w:tcW w:w="1497" w:type="dxa"/>
            <w:tcBorders>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Change in DBP</w:t>
            </w:r>
          </w:p>
        </w:tc>
        <w:tc>
          <w:tcPr>
            <w:tcW w:w="1498" w:type="dxa"/>
            <w:tcBorders>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0.050 [0.030, 0.070]</w:t>
            </w:r>
          </w:p>
        </w:tc>
        <w:tc>
          <w:tcPr>
            <w:tcW w:w="1497" w:type="dxa"/>
            <w:tcBorders>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&lt;0.001</w:t>
            </w:r>
          </w:p>
        </w:tc>
        <w:tc>
          <w:tcPr>
            <w:tcW w:w="1498" w:type="dxa"/>
            <w:tcBorders>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0.001 [0.001, 0.002]</w:t>
            </w:r>
          </w:p>
        </w:tc>
        <w:tc>
          <w:tcPr>
            <w:tcW w:w="1498" w:type="dxa"/>
            <w:tcBorders>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&lt;0.001</w:t>
            </w:r>
          </w:p>
        </w:tc>
      </w:tr>
    </w:tbl>
    <w:p>
      <w:pPr>
        <w:pStyle w:val="Normal"/>
        <w:rPr/>
      </w:pPr>
      <w:r>
        <w:rPr/>
      </w:r>
      <w:r>
        <w:br w:type="page"/>
      </w:r>
    </w:p>
    <w:p>
      <w:pPr>
        <w:pStyle w:val="CaptionedFigure"/>
        <w:rPr/>
      </w:pPr>
      <w:r>
        <w:rPr/>
        <w:drawing>
          <wp:inline distT="0" distB="0" distL="114935" distR="114935">
            <wp:extent cx="4533900" cy="6047105"/>
            <wp:effectExtent l="0" t="0" r="0" b="0"/>
            <wp:docPr id="2" name="Image1" descr="Figure 1: Assumptions of linear model for the original model M1 (from the package check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1: Assumptions of linear model for the original model M1 (from the package check_model)"/>
                    <pic:cNvPicPr>
                      <a:picLocks noChangeAspect="1" noChangeArrowheads="1"/>
                    </pic:cNvPicPr>
                  </pic:nvPicPr>
                  <pic:blipFill>
                    <a:blip r:embed="rId3"/>
                    <a:stretch>
                      <a:fillRect/>
                    </a:stretch>
                  </pic:blipFill>
                  <pic:spPr bwMode="auto">
                    <a:xfrm>
                      <a:off x="0" y="0"/>
                      <a:ext cx="4533900" cy="6047105"/>
                    </a:xfrm>
                    <a:prstGeom prst="rect">
                      <a:avLst/>
                    </a:prstGeom>
                  </pic:spPr>
                </pic:pic>
              </a:graphicData>
            </a:graphic>
          </wp:inline>
        </w:drawing>
      </w:r>
    </w:p>
    <w:p>
      <w:pPr>
        <w:pStyle w:val="ImageCaption"/>
        <w:rPr/>
      </w:pPr>
      <w:bookmarkStart w:id="2" w:name="fig%3Adbpcheckmodelorig"/>
      <w:bookmarkEnd w:id="2"/>
      <w:r>
        <w:rPr/>
        <w:t>Figure 1: Assumptions of linear model for the original model M1 (from the package check_model)</w:t>
      </w:r>
    </w:p>
    <w:p>
      <w:pPr>
        <w:pStyle w:val="Normal"/>
        <w:rPr/>
      </w:pPr>
      <w:r>
        <w:rPr/>
      </w:r>
      <w:r>
        <w:br w:type="page"/>
      </w:r>
    </w:p>
    <w:p>
      <w:pPr>
        <w:pStyle w:val="CaptionedFigure"/>
        <w:rPr/>
      </w:pPr>
      <w:r>
        <w:rPr/>
        <w:drawing>
          <wp:inline distT="0" distB="0" distL="114935" distR="114935">
            <wp:extent cx="4533900" cy="6047105"/>
            <wp:effectExtent l="0" t="0" r="0" b="0"/>
            <wp:docPr id="3" name="Image2" descr="Figure 2: Assumptions of linear model for the change score model using raw WMH volume as outcome (from the package check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2: Assumptions of linear model for the change score model using raw WMH volume as outcome (from the package check_model)"/>
                    <pic:cNvPicPr>
                      <a:picLocks noChangeAspect="1" noChangeArrowheads="1"/>
                    </pic:cNvPicPr>
                  </pic:nvPicPr>
                  <pic:blipFill>
                    <a:blip r:embed="rId4"/>
                    <a:stretch>
                      <a:fillRect/>
                    </a:stretch>
                  </pic:blipFill>
                  <pic:spPr bwMode="auto">
                    <a:xfrm>
                      <a:off x="0" y="0"/>
                      <a:ext cx="4533900" cy="6047105"/>
                    </a:xfrm>
                    <a:prstGeom prst="rect">
                      <a:avLst/>
                    </a:prstGeom>
                  </pic:spPr>
                </pic:pic>
              </a:graphicData>
            </a:graphic>
          </wp:inline>
        </w:drawing>
      </w:r>
    </w:p>
    <w:p>
      <w:pPr>
        <w:pStyle w:val="ImageCaption"/>
        <w:rPr/>
      </w:pPr>
      <w:bookmarkStart w:id="3" w:name="fig%3Adbpcheckmodel1"/>
      <w:bookmarkEnd w:id="3"/>
      <w:r>
        <w:rPr/>
        <w:t>Figure 2: Assumptions of linear model for the change score model using raw WMH volume as outcome (from the package check_model)</w:t>
      </w:r>
    </w:p>
    <w:p>
      <w:pPr>
        <w:pStyle w:val="Normal"/>
        <w:rPr/>
      </w:pPr>
      <w:r>
        <w:rPr/>
      </w:r>
      <w:r>
        <w:br w:type="page"/>
      </w:r>
    </w:p>
    <w:p>
      <w:pPr>
        <w:pStyle w:val="CaptionedFigure"/>
        <w:rPr/>
      </w:pPr>
      <w:r>
        <w:rPr/>
        <w:drawing>
          <wp:inline distT="0" distB="0" distL="114935" distR="114935">
            <wp:extent cx="4533900" cy="6047105"/>
            <wp:effectExtent l="0" t="0" r="0" b="0"/>
            <wp:docPr id="4" name="Image3" descr="Figure 3: Assumptions of linear model for the change score model using asinh-transformed WMH volume as outcome (from the package check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3: Assumptions of linear model for the change score model using asinh-transformed WMH volume as outcome (from the package check_model)"/>
                    <pic:cNvPicPr>
                      <a:picLocks noChangeAspect="1" noChangeArrowheads="1"/>
                    </pic:cNvPicPr>
                  </pic:nvPicPr>
                  <pic:blipFill>
                    <a:blip r:embed="rId5"/>
                    <a:stretch>
                      <a:fillRect/>
                    </a:stretch>
                  </pic:blipFill>
                  <pic:spPr bwMode="auto">
                    <a:xfrm>
                      <a:off x="0" y="0"/>
                      <a:ext cx="4533900" cy="6047105"/>
                    </a:xfrm>
                    <a:prstGeom prst="rect">
                      <a:avLst/>
                    </a:prstGeom>
                  </pic:spPr>
                </pic:pic>
              </a:graphicData>
            </a:graphic>
          </wp:inline>
        </w:drawing>
      </w:r>
    </w:p>
    <w:p>
      <w:pPr>
        <w:pStyle w:val="ImageCaption"/>
        <w:rPr/>
      </w:pPr>
      <w:bookmarkStart w:id="4" w:name="fig%3Adbpcheckmodel2"/>
      <w:bookmarkEnd w:id="4"/>
      <w:r>
        <w:rPr/>
        <w:t>Figure 3: Assumptions of linear model for the change score model using asinh-transformed WMH volume as outcome (from the package check_model)</w:t>
      </w:r>
    </w:p>
    <w:p>
      <w:pPr>
        <w:pStyle w:val="Normal"/>
        <w:rPr/>
      </w:pPr>
      <w:r>
        <w:rPr/>
      </w:r>
      <w:bookmarkStart w:id="5" w:name="comparison-to-a-change-score-model"/>
      <w:bookmarkStart w:id="6" w:name="comparison-to-a-change-score-model"/>
      <w:bookmarkEnd w:id="6"/>
      <w:r>
        <w:br w:type="page"/>
      </w:r>
    </w:p>
    <w:p>
      <w:pPr>
        <w:pStyle w:val="Heading1"/>
        <w:rPr/>
      </w:pPr>
      <w:r>
        <w:rPr/>
        <w:t>Assumptions for models M2 and M3</w:t>
      </w:r>
    </w:p>
    <w:p>
      <w:pPr>
        <w:pStyle w:val="CaptionedFigure"/>
        <w:rPr/>
      </w:pPr>
      <w:r>
        <w:rPr/>
        <w:drawing>
          <wp:inline distT="0" distB="0" distL="114935" distR="114935">
            <wp:extent cx="4533900" cy="6047105"/>
            <wp:effectExtent l="0" t="0" r="0" b="0"/>
            <wp:docPr id="5" name="Image4" descr="Figure 4: Assumptions of linear model for them model M2 (executive function)(from the package check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4: Assumptions of linear model for them model M2 (executive function)(from the package check_model)"/>
                    <pic:cNvPicPr>
                      <a:picLocks noChangeAspect="1" noChangeArrowheads="1"/>
                    </pic:cNvPicPr>
                  </pic:nvPicPr>
                  <pic:blipFill>
                    <a:blip r:embed="rId6"/>
                    <a:stretch>
                      <a:fillRect/>
                    </a:stretch>
                  </pic:blipFill>
                  <pic:spPr bwMode="auto">
                    <a:xfrm>
                      <a:off x="0" y="0"/>
                      <a:ext cx="4533900" cy="6047105"/>
                    </a:xfrm>
                    <a:prstGeom prst="rect">
                      <a:avLst/>
                    </a:prstGeom>
                  </pic:spPr>
                </pic:pic>
              </a:graphicData>
            </a:graphic>
          </wp:inline>
        </w:drawing>
      </w:r>
    </w:p>
    <w:p>
      <w:pPr>
        <w:pStyle w:val="ImageCaption"/>
        <w:rPr/>
      </w:pPr>
      <w:bookmarkStart w:id="7" w:name="fig%3Aassu2"/>
      <w:bookmarkEnd w:id="7"/>
      <w:r>
        <w:rPr/>
        <w:t>Figure 4: Assumptions of linear model for them model M2 (executive function)(from the package check_model)</w:t>
      </w:r>
    </w:p>
    <w:p>
      <w:pPr>
        <w:pStyle w:val="CaptionedFigure"/>
        <w:rPr/>
      </w:pPr>
      <w:r>
        <w:rPr/>
        <w:drawing>
          <wp:inline distT="0" distB="0" distL="114935" distR="114935">
            <wp:extent cx="4533900" cy="6047105"/>
            <wp:effectExtent l="0" t="0" r="0" b="0"/>
            <wp:docPr id="6" name="Image5" descr="Figure 5: Assumptions of linear model for them model M3 (global cognitive function)(from the package check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5: Assumptions of linear model for them model M3 (global cognitive function)(from the package check_model)"/>
                    <pic:cNvPicPr>
                      <a:picLocks noChangeAspect="1" noChangeArrowheads="1"/>
                    </pic:cNvPicPr>
                  </pic:nvPicPr>
                  <pic:blipFill>
                    <a:blip r:embed="rId7"/>
                    <a:stretch>
                      <a:fillRect/>
                    </a:stretch>
                  </pic:blipFill>
                  <pic:spPr bwMode="auto">
                    <a:xfrm>
                      <a:off x="0" y="0"/>
                      <a:ext cx="4533900" cy="6047105"/>
                    </a:xfrm>
                    <a:prstGeom prst="rect">
                      <a:avLst/>
                    </a:prstGeom>
                  </pic:spPr>
                </pic:pic>
              </a:graphicData>
            </a:graphic>
          </wp:inline>
        </w:drawing>
      </w:r>
    </w:p>
    <w:p>
      <w:pPr>
        <w:pStyle w:val="ImageCaption"/>
        <w:rPr/>
      </w:pPr>
      <w:bookmarkStart w:id="8" w:name="fig%3Aassu3"/>
      <w:bookmarkEnd w:id="8"/>
      <w:r>
        <w:rPr/>
        <w:t>Figure 5: Assumptions of linear model for them model M3 (global cognitive function)(from the package check_model)</w:t>
      </w:r>
    </w:p>
    <w:p>
      <w:pPr>
        <w:pStyle w:val="Normal"/>
        <w:rPr/>
      </w:pPr>
      <w:r>
        <w:rPr/>
      </w:r>
      <w:r>
        <w:br w:type="page"/>
      </w:r>
    </w:p>
    <w:p>
      <w:pPr>
        <w:pStyle w:val="CaptionedFigure"/>
        <w:rPr/>
      </w:pPr>
      <w:r>
        <w:rPr/>
        <w:drawing>
          <wp:inline distT="0" distB="0" distL="114935" distR="114935">
            <wp:extent cx="4533900" cy="3399790"/>
            <wp:effectExtent l="0" t="0" r="0" b="0"/>
            <wp:docPr id="7" name="Image6" descr="Figure 6: Age and DBP in Life-Adult. Colors indicate increase/stable/decrease in DBP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6: Age and DBP in Life-Adult. Colors indicate increase/stable/decrease in DBP over time."/>
                    <pic:cNvPicPr>
                      <a:picLocks noChangeAspect="1" noChangeArrowheads="1"/>
                    </pic:cNvPicPr>
                  </pic:nvPicPr>
                  <pic:blipFill>
                    <a:blip r:embed="rId8"/>
                    <a:stretch>
                      <a:fillRect/>
                    </a:stretch>
                  </pic:blipFill>
                  <pic:spPr bwMode="auto">
                    <a:xfrm>
                      <a:off x="0" y="0"/>
                      <a:ext cx="4533900" cy="3399790"/>
                    </a:xfrm>
                    <a:prstGeom prst="rect">
                      <a:avLst/>
                    </a:prstGeom>
                  </pic:spPr>
                </pic:pic>
              </a:graphicData>
            </a:graphic>
          </wp:inline>
        </w:drawing>
      </w:r>
    </w:p>
    <w:p>
      <w:pPr>
        <w:pStyle w:val="ImageCaption"/>
        <w:rPr/>
      </w:pPr>
      <w:bookmarkStart w:id="9" w:name="fig%3Adbptrend1"/>
      <w:bookmarkEnd w:id="9"/>
      <w:r>
        <w:rPr/>
        <w:t>Figure 6: Age and DBP in Life-Adult. Colors indicate increase/stable/decrease in DBP over time.</w:t>
      </w:r>
    </w:p>
    <w:p>
      <w:pPr>
        <w:pStyle w:val="Normal"/>
        <w:rPr/>
      </w:pPr>
      <w:r>
        <w:rPr/>
      </w:r>
      <w:r>
        <w:br w:type="page"/>
      </w:r>
    </w:p>
    <w:p>
      <w:pPr>
        <w:pStyle w:val="CaptionedFigure"/>
        <w:rPr/>
      </w:pPr>
      <w:r>
        <w:rPr/>
        <w:drawing>
          <wp:inline distT="0" distB="0" distL="114935" distR="114935">
            <wp:extent cx="4533900" cy="3399790"/>
            <wp:effectExtent l="0" t="0" r="0" b="0"/>
            <wp:docPr id="8" name="Image7" descr="Figure 7: DBP and asinh-transformed WMH in Life-Adult. Colors indicate increase/stable/decrease in DBP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7: DBP and asinh-transformed WMH in Life-Adult. Colors indicate increase/stable/decrease in DBP over time."/>
                    <pic:cNvPicPr>
                      <a:picLocks noChangeAspect="1" noChangeArrowheads="1"/>
                    </pic:cNvPicPr>
                  </pic:nvPicPr>
                  <pic:blipFill>
                    <a:blip r:embed="rId9"/>
                    <a:stretch>
                      <a:fillRect/>
                    </a:stretch>
                  </pic:blipFill>
                  <pic:spPr bwMode="auto">
                    <a:xfrm>
                      <a:off x="0" y="0"/>
                      <a:ext cx="4533900" cy="3399790"/>
                    </a:xfrm>
                    <a:prstGeom prst="rect">
                      <a:avLst/>
                    </a:prstGeom>
                  </pic:spPr>
                </pic:pic>
              </a:graphicData>
            </a:graphic>
          </wp:inline>
        </w:drawing>
      </w:r>
    </w:p>
    <w:p>
      <w:pPr>
        <w:pStyle w:val="ImageCaption"/>
        <w:rPr/>
      </w:pPr>
      <w:bookmarkStart w:id="10" w:name="fig%3Adbptrend2"/>
      <w:bookmarkEnd w:id="10"/>
      <w:r>
        <w:rPr/>
        <w:t>Figure 7: DBP and asinh-transformed WMH in Life-Adult. Colors indicate increase/stable/decrease in DBP over time.</w:t>
      </w:r>
    </w:p>
    <w:p>
      <w:pPr>
        <w:pStyle w:val="Normal"/>
        <w:rPr/>
      </w:pPr>
      <w:r>
        <w:rPr/>
      </w:r>
      <w:bookmarkStart w:id="11" w:name="assumptions-for-models-m2-and-m3"/>
      <w:bookmarkStart w:id="12" w:name="assumptions-for-models-m2-and-m3"/>
      <w:bookmarkEnd w:id="12"/>
      <w:r>
        <w:br w:type="page"/>
      </w:r>
    </w:p>
    <w:p>
      <w:pPr>
        <w:pStyle w:val="Heading1"/>
        <w:rPr/>
      </w:pPr>
      <w:r>
        <w:rPr/>
        <w:t>Interaction Models</w:t>
      </w:r>
    </w:p>
    <w:p>
      <w:pPr>
        <w:pStyle w:val="TableCaption"/>
        <w:rPr/>
      </w:pPr>
      <w:bookmarkStart w:id="13" w:name="tab%3AE2asexres"/>
      <w:bookmarkEnd w:id="13"/>
      <w:r>
        <w:rPr/>
        <w:t xml:space="preserve">Table 2: Interaction of gender and WMH progression </w:t>
      </w:r>
    </w:p>
    <w:tbl>
      <w:tblPr>
        <w:tblW w:w="8976" w:type="dxa"/>
        <w:jc w:val="center"/>
        <w:tblInd w:w="0" w:type="dxa"/>
        <w:tblLayout w:type="fixed"/>
        <w:tblCellMar>
          <w:top w:w="0" w:type="dxa"/>
          <w:left w:w="0" w:type="dxa"/>
          <w:bottom w:w="0" w:type="dxa"/>
          <w:right w:w="0" w:type="dxa"/>
        </w:tblCellMar>
        <w:tblLook w:noHBand="0" w:noVBand="1" w:firstColumn="0" w:lastRow="0" w:lastColumn="0" w:firstRow="1"/>
      </w:tblPr>
      <w:tblGrid>
        <w:gridCol w:w="4824"/>
        <w:gridCol w:w="2921"/>
        <w:gridCol w:w="1231"/>
      </w:tblGrid>
      <w:tr>
        <w:trPr>
          <w:tblHeader w:val="true"/>
          <w:trHeight w:val="624" w:hRule="atLeast"/>
        </w:trPr>
        <w:tc>
          <w:tcPr>
            <w:tcW w:w="4824" w:type="dxa"/>
            <w:tcBorders/>
            <w:shd w:color="auto" w:fill="FFFFFF" w:val="clear"/>
            <w:vAlign w:val="center"/>
          </w:tcPr>
          <w:p>
            <w:pPr>
              <w:pStyle w:val="Normal"/>
              <w:widowControl w:val="false"/>
              <w:pBdr/>
              <w:spacing w:lineRule="exact" w:line="240" w:before="100" w:after="100"/>
              <w:ind w:left="100" w:right="100" w:hanging="0"/>
              <w:jc w:val="left"/>
              <w:rPr/>
            </w:pPr>
            <w:r>
              <w:rPr/>
            </w:r>
          </w:p>
        </w:tc>
        <w:tc>
          <w:tcPr>
            <w:tcW w:w="292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Estimate [95 % CI]</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p-value</w:t>
            </w:r>
          </w:p>
        </w:tc>
      </w:tr>
      <w:tr>
        <w:trPr>
          <w:trHeight w:val="624" w:hRule="atLeast"/>
        </w:trPr>
        <w:tc>
          <w:tcPr>
            <w:tcW w:w="4824"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Age at baseline</w:t>
            </w:r>
          </w:p>
        </w:tc>
        <w:tc>
          <w:tcPr>
            <w:tcW w:w="292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0.056 [0.049, 0.062]</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&lt;0.001</w:t>
            </w:r>
          </w:p>
        </w:tc>
      </w:tr>
      <w:tr>
        <w:trPr>
          <w:trHeight w:val="624" w:hRule="atLeast"/>
        </w:trPr>
        <w:tc>
          <w:tcPr>
            <w:tcW w:w="4824"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Time between baseline and followup</w:t>
            </w:r>
          </w:p>
        </w:tc>
        <w:tc>
          <w:tcPr>
            <w:tcW w:w="292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0.025 [-0.045, 0.094]</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0.486</w:t>
            </w:r>
          </w:p>
        </w:tc>
      </w:tr>
      <w:tr>
        <w:trPr>
          <w:trHeight w:val="607" w:hRule="atLeast"/>
        </w:trPr>
        <w:tc>
          <w:tcPr>
            <w:tcW w:w="4824"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Diastolic BP at baseline</w:t>
            </w:r>
          </w:p>
        </w:tc>
        <w:tc>
          <w:tcPr>
            <w:tcW w:w="292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0.012 [0.005, 0.018]</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&lt;0.001</w:t>
            </w:r>
          </w:p>
        </w:tc>
      </w:tr>
      <w:tr>
        <w:trPr>
          <w:trHeight w:val="624" w:hRule="atLeast"/>
        </w:trPr>
        <w:tc>
          <w:tcPr>
            <w:tcW w:w="4824"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Change in diastolic BP</w:t>
            </w:r>
          </w:p>
        </w:tc>
        <w:tc>
          <w:tcPr>
            <w:tcW w:w="292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0.006 [0.003, 0.009]</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&lt;0.001</w:t>
            </w:r>
          </w:p>
        </w:tc>
      </w:tr>
      <w:tr>
        <w:trPr>
          <w:trHeight w:val="624" w:hRule="atLeast"/>
        </w:trPr>
        <w:tc>
          <w:tcPr>
            <w:tcW w:w="4824"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Waist-to-hip ratio at baseline</w:t>
            </w:r>
          </w:p>
        </w:tc>
        <w:tc>
          <w:tcPr>
            <w:tcW w:w="292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0.836 [-0.134, 1.807]</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0.091</w:t>
            </w:r>
          </w:p>
        </w:tc>
      </w:tr>
      <w:tr>
        <w:trPr>
          <w:trHeight w:val="624" w:hRule="atLeast"/>
        </w:trPr>
        <w:tc>
          <w:tcPr>
            <w:tcW w:w="4824"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Change in WHR</w:t>
            </w:r>
          </w:p>
        </w:tc>
        <w:tc>
          <w:tcPr>
            <w:tcW w:w="292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-0.078 [-0.693, 0.536]</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0.803</w:t>
            </w:r>
          </w:p>
        </w:tc>
      </w:tr>
      <w:tr>
        <w:trPr>
          <w:trHeight w:val="607" w:hRule="atLeast"/>
        </w:trPr>
        <w:tc>
          <w:tcPr>
            <w:tcW w:w="4824"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Gender (males=1)</w:t>
            </w:r>
          </w:p>
        </w:tc>
        <w:tc>
          <w:tcPr>
            <w:tcW w:w="292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-0.281 [-0.462, -0.101]</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0.002</w:t>
            </w:r>
          </w:p>
        </w:tc>
      </w:tr>
      <w:tr>
        <w:trPr>
          <w:trHeight w:val="624" w:hRule="atLeast"/>
        </w:trPr>
        <w:tc>
          <w:tcPr>
            <w:tcW w:w="4824"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Interaction of time and gender</w:t>
            </w:r>
          </w:p>
        </w:tc>
        <w:tc>
          <w:tcPr>
            <w:tcW w:w="292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0.000 [-0.012, 0.011]</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0.936</w:t>
            </w:r>
          </w:p>
        </w:tc>
      </w:tr>
      <w:tr>
        <w:trPr>
          <w:trHeight w:val="607" w:hRule="atLeast"/>
        </w:trPr>
        <w:tc>
          <w:tcPr>
            <w:tcW w:w="4824"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Interaction of time and DBP at baseline</w:t>
            </w:r>
          </w:p>
        </w:tc>
        <w:tc>
          <w:tcPr>
            <w:tcW w:w="292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0.000 [-0.001, 0.000]</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0.616</w:t>
            </w:r>
          </w:p>
        </w:tc>
      </w:tr>
      <w:tr>
        <w:trPr>
          <w:trHeight w:val="607" w:hRule="atLeast"/>
        </w:trPr>
        <w:tc>
          <w:tcPr>
            <w:tcW w:w="4824" w:type="dxa"/>
            <w:tcBorders>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Interaction of time and WHR at baseline</w:t>
            </w:r>
          </w:p>
        </w:tc>
        <w:tc>
          <w:tcPr>
            <w:tcW w:w="2921" w:type="dxa"/>
            <w:tcBorders>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0.031 [-0.035, 0.098]</w:t>
            </w:r>
          </w:p>
        </w:tc>
        <w:tc>
          <w:tcPr>
            <w:tcW w:w="1231" w:type="dxa"/>
            <w:tcBorders>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0.356</w:t>
            </w:r>
          </w:p>
        </w:tc>
      </w:tr>
    </w:tbl>
    <w:p>
      <w:pPr>
        <w:pStyle w:val="Normal"/>
        <w:rPr/>
      </w:pPr>
      <w:r>
        <w:rPr/>
      </w:r>
      <w:r>
        <w:br w:type="page"/>
      </w:r>
    </w:p>
    <w:p>
      <w:pPr>
        <w:pStyle w:val="Heading4"/>
        <w:rPr/>
      </w:pPr>
      <w:r>
        <w:rPr/>
        <w:t>E2aa: Gender and DBP change interaction (new exploratory analysis)</w:t>
      </w:r>
    </w:p>
    <w:p>
      <w:pPr>
        <w:pStyle w:val="TableCaption"/>
        <w:rPr/>
      </w:pPr>
      <w:bookmarkStart w:id="14" w:name="tab%3AE2aDBPchangesexres"/>
      <w:bookmarkEnd w:id="14"/>
      <w:r>
        <w:rPr/>
        <w:t xml:space="preserve">Table 3: Interaction of DBP change and gender on WMH progression </w:t>
      </w:r>
    </w:p>
    <w:tbl>
      <w:tblPr>
        <w:tblW w:w="8893" w:type="dxa"/>
        <w:jc w:val="center"/>
        <w:tblInd w:w="0" w:type="dxa"/>
        <w:tblLayout w:type="fixed"/>
        <w:tblCellMar>
          <w:top w:w="0" w:type="dxa"/>
          <w:left w:w="0" w:type="dxa"/>
          <w:bottom w:w="0" w:type="dxa"/>
          <w:right w:w="0" w:type="dxa"/>
        </w:tblCellMar>
        <w:tblLook w:noHBand="0" w:noVBand="1" w:firstColumn="0" w:lastRow="0" w:lastColumn="0" w:firstRow="1"/>
      </w:tblPr>
      <w:tblGrid>
        <w:gridCol w:w="4741"/>
        <w:gridCol w:w="2921"/>
        <w:gridCol w:w="1231"/>
      </w:tblGrid>
      <w:tr>
        <w:trPr>
          <w:tblHeader w:val="true"/>
          <w:trHeight w:val="624" w:hRule="atLeast"/>
        </w:trPr>
        <w:tc>
          <w:tcPr>
            <w:tcW w:w="4741" w:type="dxa"/>
            <w:tcBorders/>
            <w:shd w:color="auto" w:fill="FFFFFF" w:val="clear"/>
            <w:vAlign w:val="center"/>
          </w:tcPr>
          <w:p>
            <w:pPr>
              <w:pStyle w:val="Normal"/>
              <w:widowControl w:val="false"/>
              <w:pBdr/>
              <w:spacing w:lineRule="exact" w:line="240" w:before="100" w:after="100"/>
              <w:ind w:left="100" w:right="100" w:hanging="0"/>
              <w:jc w:val="left"/>
              <w:rPr/>
            </w:pPr>
            <w:r>
              <w:rPr/>
            </w:r>
          </w:p>
        </w:tc>
        <w:tc>
          <w:tcPr>
            <w:tcW w:w="292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Estimate [95 % CI]</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p-value</w:t>
            </w:r>
          </w:p>
        </w:tc>
      </w:tr>
      <w:tr>
        <w:trPr>
          <w:trHeight w:val="624" w:hRule="atLeast"/>
        </w:trPr>
        <w:tc>
          <w:tcPr>
            <w:tcW w:w="474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Age at baseline</w:t>
            </w:r>
          </w:p>
        </w:tc>
        <w:tc>
          <w:tcPr>
            <w:tcW w:w="292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0.056 [0.049, 0.062]</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&lt;0.001</w:t>
            </w:r>
          </w:p>
        </w:tc>
      </w:tr>
      <w:tr>
        <w:trPr>
          <w:trHeight w:val="624" w:hRule="atLeast"/>
        </w:trPr>
        <w:tc>
          <w:tcPr>
            <w:tcW w:w="474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Time between baseline and followup</w:t>
            </w:r>
          </w:p>
        </w:tc>
        <w:tc>
          <w:tcPr>
            <w:tcW w:w="292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0.026 [-0.030, 0.083]</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0.359</w:t>
            </w:r>
          </w:p>
        </w:tc>
      </w:tr>
      <w:tr>
        <w:trPr>
          <w:trHeight w:val="607" w:hRule="atLeast"/>
        </w:trPr>
        <w:tc>
          <w:tcPr>
            <w:tcW w:w="474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Diastolic BP at baseline</w:t>
            </w:r>
          </w:p>
        </w:tc>
        <w:tc>
          <w:tcPr>
            <w:tcW w:w="292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0.012 [0.005, 0.018]</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&lt;0.001</w:t>
            </w:r>
          </w:p>
        </w:tc>
      </w:tr>
      <w:tr>
        <w:trPr>
          <w:trHeight w:val="624" w:hRule="atLeast"/>
        </w:trPr>
        <w:tc>
          <w:tcPr>
            <w:tcW w:w="474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Change in diastolic BP</w:t>
            </w:r>
          </w:p>
        </w:tc>
        <w:tc>
          <w:tcPr>
            <w:tcW w:w="292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0.008 [0.003, 0.013]</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0.002</w:t>
            </w:r>
          </w:p>
        </w:tc>
      </w:tr>
      <w:tr>
        <w:trPr>
          <w:trHeight w:val="624" w:hRule="atLeast"/>
        </w:trPr>
        <w:tc>
          <w:tcPr>
            <w:tcW w:w="474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Waist-to-hip ratio at baseline</w:t>
            </w:r>
          </w:p>
        </w:tc>
        <w:tc>
          <w:tcPr>
            <w:tcW w:w="292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0.843 [-0.116, 1.802]</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0.085</w:t>
            </w:r>
          </w:p>
        </w:tc>
      </w:tr>
      <w:tr>
        <w:trPr>
          <w:trHeight w:val="624" w:hRule="atLeast"/>
        </w:trPr>
        <w:tc>
          <w:tcPr>
            <w:tcW w:w="474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Change in WHR</w:t>
            </w:r>
          </w:p>
        </w:tc>
        <w:tc>
          <w:tcPr>
            <w:tcW w:w="292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-0.074 [-0.674, 0.526]</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0.809</w:t>
            </w:r>
          </w:p>
        </w:tc>
      </w:tr>
      <w:tr>
        <w:trPr>
          <w:trHeight w:val="607" w:hRule="atLeast"/>
        </w:trPr>
        <w:tc>
          <w:tcPr>
            <w:tcW w:w="474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Gender (males=1)</w:t>
            </w:r>
          </w:p>
        </w:tc>
        <w:tc>
          <w:tcPr>
            <w:tcW w:w="292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-0.282 [-0.459, -0.105]</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0.002</w:t>
            </w:r>
          </w:p>
        </w:tc>
      </w:tr>
      <w:tr>
        <w:trPr>
          <w:trHeight w:val="624" w:hRule="atLeast"/>
        </w:trPr>
        <w:tc>
          <w:tcPr>
            <w:tcW w:w="474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Interaction of DBP change and gender</w:t>
            </w:r>
          </w:p>
        </w:tc>
        <w:tc>
          <w:tcPr>
            <w:tcW w:w="292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-0.003 [-0.009, 0.003]</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0.372</w:t>
            </w:r>
          </w:p>
        </w:tc>
      </w:tr>
      <w:tr>
        <w:trPr>
          <w:trHeight w:val="607" w:hRule="atLeast"/>
        </w:trPr>
        <w:tc>
          <w:tcPr>
            <w:tcW w:w="4741" w:type="dxa"/>
            <w:tcBorders>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Interaction of time and DBP at baseline</w:t>
            </w:r>
          </w:p>
        </w:tc>
        <w:tc>
          <w:tcPr>
            <w:tcW w:w="2921" w:type="dxa"/>
            <w:tcBorders>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0.000 [-0.001, 0.000]</w:t>
            </w:r>
          </w:p>
        </w:tc>
        <w:tc>
          <w:tcPr>
            <w:tcW w:w="1231" w:type="dxa"/>
            <w:tcBorders>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0.586</w:t>
            </w:r>
          </w:p>
        </w:tc>
      </w:tr>
    </w:tbl>
    <w:p>
      <w:pPr>
        <w:pStyle w:val="Normal"/>
        <w:rPr/>
      </w:pPr>
      <w:r>
        <w:rPr/>
      </w:r>
      <w:bookmarkStart w:id="15" w:name="X7bc80b9f3f189643397b2acaf9971bd2125f1a9"/>
      <w:bookmarkStart w:id="16" w:name="X7bc80b9f3f189643397b2acaf9971bd2125f1a9"/>
      <w:bookmarkEnd w:id="16"/>
      <w:r>
        <w:br w:type="page"/>
      </w:r>
    </w:p>
    <w:p>
      <w:pPr>
        <w:pStyle w:val="Heading4"/>
        <w:rPr/>
      </w:pPr>
      <w:r>
        <w:rPr/>
        <w:t>E2a: Gender and baseline DBP interaction on WML progression</w:t>
      </w:r>
    </w:p>
    <w:p>
      <w:pPr>
        <w:pStyle w:val="TableCaption"/>
        <w:rPr/>
      </w:pPr>
      <w:bookmarkStart w:id="17" w:name="tab%3AE2bDBPsexres"/>
      <w:bookmarkEnd w:id="17"/>
      <w:r>
        <w:rPr/>
        <w:t xml:space="preserve">Table 4: Interaction of DBP baseline, age and gender on WML progression </w:t>
      </w:r>
    </w:p>
    <w:tbl>
      <w:tblPr>
        <w:tblW w:w="9444" w:type="dxa"/>
        <w:jc w:val="center"/>
        <w:tblInd w:w="0" w:type="dxa"/>
        <w:tblLayout w:type="fixed"/>
        <w:tblCellMar>
          <w:top w:w="0" w:type="dxa"/>
          <w:left w:w="0" w:type="dxa"/>
          <w:bottom w:w="0" w:type="dxa"/>
          <w:right w:w="0" w:type="dxa"/>
        </w:tblCellMar>
        <w:tblLook w:noHBand="0" w:noVBand="1" w:firstColumn="0" w:lastRow="0" w:lastColumn="0" w:firstRow="1"/>
      </w:tblPr>
      <w:tblGrid>
        <w:gridCol w:w="5372"/>
        <w:gridCol w:w="2841"/>
        <w:gridCol w:w="1231"/>
      </w:tblGrid>
      <w:tr>
        <w:trPr>
          <w:tblHeader w:val="true"/>
          <w:trHeight w:val="624" w:hRule="atLeast"/>
        </w:trPr>
        <w:tc>
          <w:tcPr>
            <w:tcW w:w="5372" w:type="dxa"/>
            <w:tcBorders/>
            <w:shd w:color="auto" w:fill="FFFFFF" w:val="clear"/>
            <w:vAlign w:val="center"/>
          </w:tcPr>
          <w:p>
            <w:pPr>
              <w:pStyle w:val="Normal"/>
              <w:widowControl w:val="false"/>
              <w:pBdr/>
              <w:spacing w:lineRule="exact" w:line="240" w:before="100" w:after="100"/>
              <w:ind w:left="100" w:right="100" w:hanging="0"/>
              <w:jc w:val="left"/>
              <w:rPr/>
            </w:pPr>
            <w:r>
              <w:rPr/>
            </w:r>
          </w:p>
        </w:tc>
        <w:tc>
          <w:tcPr>
            <w:tcW w:w="284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Estimate [95 % CI]</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p-value</w:t>
            </w:r>
          </w:p>
        </w:tc>
      </w:tr>
      <w:tr>
        <w:trPr>
          <w:trHeight w:val="624" w:hRule="atLeast"/>
        </w:trPr>
        <w:tc>
          <w:tcPr>
            <w:tcW w:w="5372"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Age at baseline</w:t>
            </w:r>
          </w:p>
        </w:tc>
        <w:tc>
          <w:tcPr>
            <w:tcW w:w="284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0.055 [0.049, 0.062]</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&lt;0.001</w:t>
            </w:r>
          </w:p>
        </w:tc>
      </w:tr>
      <w:tr>
        <w:trPr>
          <w:trHeight w:val="624" w:hRule="atLeast"/>
        </w:trPr>
        <w:tc>
          <w:tcPr>
            <w:tcW w:w="5372"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Time between baseline and followup</w:t>
            </w:r>
          </w:p>
        </w:tc>
        <w:tc>
          <w:tcPr>
            <w:tcW w:w="284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0.014 [-0.064, 0.091]</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0.730</w:t>
            </w:r>
          </w:p>
        </w:tc>
      </w:tr>
      <w:tr>
        <w:trPr>
          <w:trHeight w:val="607" w:hRule="atLeast"/>
        </w:trPr>
        <w:tc>
          <w:tcPr>
            <w:tcW w:w="5372"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Diastolic BP at baseline</w:t>
            </w:r>
          </w:p>
        </w:tc>
        <w:tc>
          <w:tcPr>
            <w:tcW w:w="284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0.015 [0.006, 0.025]</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0.002</w:t>
            </w:r>
          </w:p>
        </w:tc>
      </w:tr>
      <w:tr>
        <w:trPr>
          <w:trHeight w:val="624" w:hRule="atLeast"/>
        </w:trPr>
        <w:tc>
          <w:tcPr>
            <w:tcW w:w="5372"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Change in diastolic BP</w:t>
            </w:r>
          </w:p>
        </w:tc>
        <w:tc>
          <w:tcPr>
            <w:tcW w:w="284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0.006 [0.003, 0.009]</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&lt;0.001</w:t>
            </w:r>
          </w:p>
        </w:tc>
      </w:tr>
      <w:tr>
        <w:trPr>
          <w:trHeight w:val="624" w:hRule="atLeast"/>
        </w:trPr>
        <w:tc>
          <w:tcPr>
            <w:tcW w:w="5372"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Waist-to-hip ratio at baseline</w:t>
            </w:r>
          </w:p>
        </w:tc>
        <w:tc>
          <w:tcPr>
            <w:tcW w:w="284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0.837 [-0.128, 1.802]</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0.089</w:t>
            </w:r>
          </w:p>
        </w:tc>
      </w:tr>
      <w:tr>
        <w:trPr>
          <w:trHeight w:val="624" w:hRule="atLeast"/>
        </w:trPr>
        <w:tc>
          <w:tcPr>
            <w:tcW w:w="5372"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Change in WHR</w:t>
            </w:r>
          </w:p>
        </w:tc>
        <w:tc>
          <w:tcPr>
            <w:tcW w:w="284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-0.092 [-0.704, 0.520]</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0.767</w:t>
            </w:r>
          </w:p>
        </w:tc>
      </w:tr>
      <w:tr>
        <w:trPr>
          <w:trHeight w:val="607" w:hRule="atLeast"/>
        </w:trPr>
        <w:tc>
          <w:tcPr>
            <w:tcW w:w="5372"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Gender (males=1)</w:t>
            </w:r>
          </w:p>
        </w:tc>
        <w:tc>
          <w:tcPr>
            <w:tcW w:w="284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0.208 [-0.768, 1.184]</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0.676</w:t>
            </w:r>
          </w:p>
        </w:tc>
      </w:tr>
      <w:tr>
        <w:trPr>
          <w:trHeight w:val="624" w:hRule="atLeast"/>
        </w:trPr>
        <w:tc>
          <w:tcPr>
            <w:tcW w:w="5372"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Interaction of DBP and gender</w:t>
            </w:r>
          </w:p>
        </w:tc>
        <w:tc>
          <w:tcPr>
            <w:tcW w:w="284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-0.006 [-0.019, 0.006]</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0.318</w:t>
            </w:r>
          </w:p>
        </w:tc>
      </w:tr>
      <w:tr>
        <w:trPr>
          <w:trHeight w:val="624" w:hRule="atLeast"/>
        </w:trPr>
        <w:tc>
          <w:tcPr>
            <w:tcW w:w="5372"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Interaction of time and gender</w:t>
            </w:r>
          </w:p>
        </w:tc>
        <w:tc>
          <w:tcPr>
            <w:tcW w:w="284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0.021 [-0.046, 0.089]</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0.534</w:t>
            </w:r>
          </w:p>
        </w:tc>
      </w:tr>
      <w:tr>
        <w:trPr>
          <w:trHeight w:val="607" w:hRule="atLeast"/>
        </w:trPr>
        <w:tc>
          <w:tcPr>
            <w:tcW w:w="5372"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Interaction of time and DBP at baseline</w:t>
            </w:r>
          </w:p>
        </w:tc>
        <w:tc>
          <w:tcPr>
            <w:tcW w:w="284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0.000 [-0.001, 0.001]</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0.932</w:t>
            </w:r>
          </w:p>
        </w:tc>
      </w:tr>
      <w:tr>
        <w:trPr>
          <w:trHeight w:val="607" w:hRule="atLeast"/>
        </w:trPr>
        <w:tc>
          <w:tcPr>
            <w:tcW w:w="5372"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Interaction of time and WHR at baseline</w:t>
            </w:r>
          </w:p>
        </w:tc>
        <w:tc>
          <w:tcPr>
            <w:tcW w:w="284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0.031 [-0.035, 0.097]</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0.361</w:t>
            </w:r>
          </w:p>
        </w:tc>
      </w:tr>
      <w:tr>
        <w:trPr>
          <w:trHeight w:val="607" w:hRule="atLeast"/>
        </w:trPr>
        <w:tc>
          <w:tcPr>
            <w:tcW w:w="5372" w:type="dxa"/>
            <w:tcBorders>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Gender differences of time x DBP at baseline</w:t>
            </w:r>
          </w:p>
        </w:tc>
        <w:tc>
          <w:tcPr>
            <w:tcW w:w="2841" w:type="dxa"/>
            <w:tcBorders>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0.000 [-0.001, 0.001]</w:t>
            </w:r>
          </w:p>
        </w:tc>
        <w:tc>
          <w:tcPr>
            <w:tcW w:w="1231" w:type="dxa"/>
            <w:tcBorders>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0.519</w:t>
            </w:r>
          </w:p>
        </w:tc>
      </w:tr>
    </w:tbl>
    <w:p>
      <w:pPr>
        <w:pStyle w:val="Normal"/>
        <w:rPr/>
      </w:pPr>
      <w:r>
        <w:rPr/>
      </w:r>
      <w:bookmarkStart w:id="18" w:name="X4246e3ddf5ffaf6b8188bd2c98063d10e05af82"/>
      <w:bookmarkStart w:id="19" w:name="X4246e3ddf5ffaf6b8188bd2c98063d10e05af82"/>
      <w:bookmarkEnd w:id="19"/>
      <w:r>
        <w:br w:type="page"/>
      </w:r>
    </w:p>
    <w:p>
      <w:pPr>
        <w:pStyle w:val="Heading4"/>
        <w:rPr/>
      </w:pPr>
      <w:r>
        <w:rPr/>
        <w:t>E2c: Interaction of gender and baseline WHR on WMH progression</w:t>
      </w:r>
    </w:p>
    <w:p>
      <w:pPr>
        <w:pStyle w:val="TableCaption"/>
        <w:rPr/>
      </w:pPr>
      <w:bookmarkStart w:id="20" w:name="tab%3AE2cWHRsexres"/>
      <w:bookmarkEnd w:id="20"/>
      <w:r>
        <w:rPr/>
        <w:t xml:space="preserve">Table 5: Interaction of gender and baseline WHR on WMH progression </w:t>
      </w:r>
    </w:p>
    <w:tbl>
      <w:tblPr>
        <w:tblW w:w="9527" w:type="dxa"/>
        <w:jc w:val="center"/>
        <w:tblInd w:w="0" w:type="dxa"/>
        <w:tblLayout w:type="fixed"/>
        <w:tblCellMar>
          <w:top w:w="0" w:type="dxa"/>
          <w:left w:w="0" w:type="dxa"/>
          <w:bottom w:w="0" w:type="dxa"/>
          <w:right w:w="0" w:type="dxa"/>
        </w:tblCellMar>
        <w:tblLook w:noHBand="0" w:noVBand="1" w:firstColumn="0" w:lastRow="0" w:lastColumn="0" w:firstRow="1"/>
      </w:tblPr>
      <w:tblGrid>
        <w:gridCol w:w="5456"/>
        <w:gridCol w:w="2840"/>
        <w:gridCol w:w="1231"/>
      </w:tblGrid>
      <w:tr>
        <w:trPr>
          <w:tblHeader w:val="true"/>
          <w:trHeight w:val="624" w:hRule="atLeast"/>
        </w:trPr>
        <w:tc>
          <w:tcPr>
            <w:tcW w:w="5456" w:type="dxa"/>
            <w:tcBorders/>
            <w:shd w:color="auto" w:fill="FFFFFF" w:val="clear"/>
            <w:vAlign w:val="center"/>
          </w:tcPr>
          <w:p>
            <w:pPr>
              <w:pStyle w:val="Normal"/>
              <w:widowControl w:val="false"/>
              <w:pBdr/>
              <w:spacing w:lineRule="exact" w:line="240" w:before="100" w:after="100"/>
              <w:ind w:left="100" w:right="100" w:hanging="0"/>
              <w:jc w:val="left"/>
              <w:rPr/>
            </w:pPr>
            <w:r>
              <w:rPr/>
            </w:r>
          </w:p>
        </w:tc>
        <w:tc>
          <w:tcPr>
            <w:tcW w:w="2840"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Estimate [95 % CI]</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p-value</w:t>
            </w:r>
          </w:p>
        </w:tc>
      </w:tr>
      <w:tr>
        <w:trPr>
          <w:trHeight w:val="624" w:hRule="atLeast"/>
        </w:trPr>
        <w:tc>
          <w:tcPr>
            <w:tcW w:w="545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Age at baseline</w:t>
            </w:r>
          </w:p>
        </w:tc>
        <w:tc>
          <w:tcPr>
            <w:tcW w:w="2840"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0.056 [0.049, 0.062]</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&lt;0.001</w:t>
            </w:r>
          </w:p>
        </w:tc>
      </w:tr>
      <w:tr>
        <w:trPr>
          <w:trHeight w:val="624" w:hRule="atLeast"/>
        </w:trPr>
        <w:tc>
          <w:tcPr>
            <w:tcW w:w="545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Time between baseline and followup</w:t>
            </w:r>
          </w:p>
        </w:tc>
        <w:tc>
          <w:tcPr>
            <w:tcW w:w="2840"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0.052 [-0.045, 0.148]</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0.295</w:t>
            </w:r>
          </w:p>
        </w:tc>
      </w:tr>
      <w:tr>
        <w:trPr>
          <w:trHeight w:val="607" w:hRule="atLeast"/>
        </w:trPr>
        <w:tc>
          <w:tcPr>
            <w:tcW w:w="545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Diastolic BP at baseline</w:t>
            </w:r>
          </w:p>
        </w:tc>
        <w:tc>
          <w:tcPr>
            <w:tcW w:w="2840"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0.012 [0.005, 0.018]</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&lt;0.001</w:t>
            </w:r>
          </w:p>
        </w:tc>
      </w:tr>
      <w:tr>
        <w:trPr>
          <w:trHeight w:val="624" w:hRule="atLeast"/>
        </w:trPr>
        <w:tc>
          <w:tcPr>
            <w:tcW w:w="545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Change in diastolic BP</w:t>
            </w:r>
          </w:p>
        </w:tc>
        <w:tc>
          <w:tcPr>
            <w:tcW w:w="2840"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0.006 [0.003, 0.009]</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&lt;0.001</w:t>
            </w:r>
          </w:p>
        </w:tc>
      </w:tr>
      <w:tr>
        <w:trPr>
          <w:trHeight w:val="624" w:hRule="atLeast"/>
        </w:trPr>
        <w:tc>
          <w:tcPr>
            <w:tcW w:w="545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Waist-to-hip ratio at baseline</w:t>
            </w:r>
          </w:p>
        </w:tc>
        <w:tc>
          <w:tcPr>
            <w:tcW w:w="2840"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0.705 [-0.745, 2.155]</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0.340</w:t>
            </w:r>
          </w:p>
        </w:tc>
      </w:tr>
      <w:tr>
        <w:trPr>
          <w:trHeight w:val="624" w:hRule="atLeast"/>
        </w:trPr>
        <w:tc>
          <w:tcPr>
            <w:tcW w:w="545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Change in WHR</w:t>
            </w:r>
          </w:p>
        </w:tc>
        <w:tc>
          <w:tcPr>
            <w:tcW w:w="2840"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-0.118 [-0.736, 0.500]</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0.708</w:t>
            </w:r>
          </w:p>
        </w:tc>
      </w:tr>
      <w:tr>
        <w:trPr>
          <w:trHeight w:val="607" w:hRule="atLeast"/>
        </w:trPr>
        <w:tc>
          <w:tcPr>
            <w:tcW w:w="545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Gender (males=1)</w:t>
            </w:r>
          </w:p>
        </w:tc>
        <w:tc>
          <w:tcPr>
            <w:tcW w:w="2840"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-0.493 [-2.254, 1.268]</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0.583</w:t>
            </w:r>
          </w:p>
        </w:tc>
      </w:tr>
      <w:tr>
        <w:trPr>
          <w:trHeight w:val="624" w:hRule="atLeast"/>
        </w:trPr>
        <w:tc>
          <w:tcPr>
            <w:tcW w:w="545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Interaction of WHR and gender</w:t>
            </w:r>
          </w:p>
        </w:tc>
        <w:tc>
          <w:tcPr>
            <w:tcW w:w="2840"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0.228 [-1.662, 2.119]</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0.813</w:t>
            </w:r>
          </w:p>
        </w:tc>
      </w:tr>
      <w:tr>
        <w:trPr>
          <w:trHeight w:val="624" w:hRule="atLeast"/>
        </w:trPr>
        <w:tc>
          <w:tcPr>
            <w:tcW w:w="545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Interaction of time and gender</w:t>
            </w:r>
          </w:p>
        </w:tc>
        <w:tc>
          <w:tcPr>
            <w:tcW w:w="2840"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-0.049 [-0.171, 0.073]</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0.433</w:t>
            </w:r>
          </w:p>
        </w:tc>
      </w:tr>
      <w:tr>
        <w:trPr>
          <w:trHeight w:val="607" w:hRule="atLeast"/>
        </w:trPr>
        <w:tc>
          <w:tcPr>
            <w:tcW w:w="545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Interaction of time and DBP at baseline</w:t>
            </w:r>
          </w:p>
        </w:tc>
        <w:tc>
          <w:tcPr>
            <w:tcW w:w="2840"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0.000 [-0.001, 0.000]</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0.618</w:t>
            </w:r>
          </w:p>
        </w:tc>
      </w:tr>
      <w:tr>
        <w:trPr>
          <w:trHeight w:val="607" w:hRule="atLeast"/>
        </w:trPr>
        <w:tc>
          <w:tcPr>
            <w:tcW w:w="545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Interaction of time and WHR at baseline</w:t>
            </w:r>
          </w:p>
        </w:tc>
        <w:tc>
          <w:tcPr>
            <w:tcW w:w="2840"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0.000 [-0.102, 0.102]</w:t>
            </w:r>
          </w:p>
        </w:tc>
        <w:tc>
          <w:tcPr>
            <w:tcW w:w="1231"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0.994</w:t>
            </w:r>
          </w:p>
        </w:tc>
      </w:tr>
      <w:tr>
        <w:trPr>
          <w:trHeight w:val="607" w:hRule="atLeast"/>
        </w:trPr>
        <w:tc>
          <w:tcPr>
            <w:tcW w:w="5456" w:type="dxa"/>
            <w:tcBorders>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Gender differences of time x WHR at baseline</w:t>
            </w:r>
          </w:p>
        </w:tc>
        <w:tc>
          <w:tcPr>
            <w:tcW w:w="2840" w:type="dxa"/>
            <w:tcBorders>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0.052 [-0.079, 0.184]</w:t>
            </w:r>
          </w:p>
        </w:tc>
        <w:tc>
          <w:tcPr>
            <w:tcW w:w="1231" w:type="dxa"/>
            <w:tcBorders>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0.436</w:t>
            </w:r>
          </w:p>
        </w:tc>
      </w:tr>
    </w:tbl>
    <w:p>
      <w:pPr>
        <w:pStyle w:val="Normal"/>
        <w:rPr/>
      </w:pPr>
      <w:r>
        <w:rPr/>
      </w:r>
      <w:bookmarkStart w:id="21" w:name="Xc21c576b3f7cb34ab193e263db6ad0211408b44"/>
      <w:bookmarkStart w:id="22" w:name="Xc21c576b3f7cb34ab193e263db6ad0211408b44"/>
      <w:bookmarkEnd w:id="22"/>
      <w:r>
        <w:br w:type="page"/>
      </w:r>
    </w:p>
    <w:p>
      <w:pPr>
        <w:pStyle w:val="Heading4"/>
        <w:rPr/>
      </w:pPr>
      <w:r>
        <w:rPr/>
        <w:t>E3a: Interaction of gender and WMH progression on executive cognitive function</w:t>
      </w:r>
    </w:p>
    <w:p>
      <w:pPr>
        <w:pStyle w:val="TableCaption"/>
        <w:rPr/>
      </w:pPr>
      <w:bookmarkStart w:id="23" w:name="tab%3AE3aexfunctsexres"/>
      <w:bookmarkEnd w:id="23"/>
      <w:r>
        <w:rPr/>
        <w:t>Table 6: Interaction of WMH progression and gender on executive function</w:t>
      </w:r>
    </w:p>
    <w:tbl>
      <w:tblPr>
        <w:tblW w:w="4000" w:type="pct"/>
        <w:jc w:val="center"/>
        <w:tblInd w:w="0" w:type="dxa"/>
        <w:tblLayout w:type="fixed"/>
        <w:tblCellMar>
          <w:top w:w="0" w:type="dxa"/>
          <w:left w:w="0" w:type="dxa"/>
          <w:bottom w:w="0" w:type="dxa"/>
          <w:right w:w="0" w:type="dxa"/>
        </w:tblCellMar>
        <w:tblLook w:noHBand="0" w:noVBand="1" w:firstColumn="0" w:lastRow="0" w:lastColumn="0" w:firstRow="1"/>
      </w:tblPr>
      <w:tblGrid>
        <w:gridCol w:w="2496"/>
        <w:gridCol w:w="2496"/>
        <w:gridCol w:w="2496"/>
      </w:tblGrid>
      <w:tr>
        <w:trPr>
          <w:tblHeader w:val="true"/>
          <w:trHeight w:val="480" w:hRule="atLeast"/>
        </w:trPr>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
          </w:p>
        </w:tc>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Estimate [95 % CI]</w:t>
            </w:r>
          </w:p>
        </w:tc>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p-value</w:t>
            </w:r>
          </w:p>
        </w:tc>
      </w:tr>
      <w:tr>
        <w:trPr>
          <w:trHeight w:val="360" w:hRule="atLeast"/>
        </w:trPr>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Age at baseline</w:t>
            </w:r>
          </w:p>
        </w:tc>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-0.017 [-0.026, -0.008]</w:t>
            </w:r>
          </w:p>
        </w:tc>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&lt;0.001</w:t>
            </w:r>
          </w:p>
        </w:tc>
      </w:tr>
      <w:tr>
        <w:trPr>
          <w:trHeight w:val="360" w:hRule="atLeast"/>
        </w:trPr>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Time between baseline and followup</w:t>
            </w:r>
          </w:p>
        </w:tc>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-0.047 [-0.061, -0.033]</w:t>
            </w:r>
          </w:p>
        </w:tc>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&lt;0.001</w:t>
            </w:r>
          </w:p>
        </w:tc>
      </w:tr>
      <w:tr>
        <w:trPr>
          <w:trHeight w:val="360" w:hRule="atLeast"/>
        </w:trPr>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Asinh-transformed WMH volume baseline</w:t>
            </w:r>
          </w:p>
        </w:tc>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-0.017 [-0.116, 0.082]</w:t>
            </w:r>
          </w:p>
        </w:tc>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0.735</w:t>
            </w:r>
          </w:p>
        </w:tc>
      </w:tr>
      <w:tr>
        <w:trPr>
          <w:trHeight w:val="360" w:hRule="atLeast"/>
        </w:trPr>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Change in Asinh-transformed WMH volume</w:t>
            </w:r>
          </w:p>
        </w:tc>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-0.097 [-0.370, 0.175]</w:t>
            </w:r>
          </w:p>
        </w:tc>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0.483</w:t>
            </w:r>
          </w:p>
        </w:tc>
      </w:tr>
      <w:tr>
        <w:trPr>
          <w:trHeight w:val="360" w:hRule="atLeast"/>
        </w:trPr>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Gender (males=1)</w:t>
            </w:r>
          </w:p>
        </w:tc>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-0.229 [-0.392, -0.066]</w:t>
            </w:r>
          </w:p>
        </w:tc>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0.006</w:t>
            </w:r>
          </w:p>
        </w:tc>
      </w:tr>
      <w:tr>
        <w:trPr>
          <w:trHeight w:val="360" w:hRule="atLeast"/>
        </w:trPr>
        <w:tc>
          <w:tcPr>
            <w:tcW w:w="2496" w:type="dxa"/>
            <w:tcBorders>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Interaction of gender and Asinh-transformed WMH change</w:t>
            </w:r>
          </w:p>
        </w:tc>
        <w:tc>
          <w:tcPr>
            <w:tcW w:w="2496" w:type="dxa"/>
            <w:tcBorders>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-0.104 [-0.417, 0.209]</w:t>
            </w:r>
          </w:p>
        </w:tc>
        <w:tc>
          <w:tcPr>
            <w:tcW w:w="2496" w:type="dxa"/>
            <w:tcBorders>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0.513</w:t>
            </w:r>
          </w:p>
        </w:tc>
      </w:tr>
    </w:tbl>
    <w:p>
      <w:pPr>
        <w:pStyle w:val="TableCaption"/>
        <w:rPr/>
      </w:pPr>
      <w:r>
        <w:rPr/>
      </w:r>
      <w:r>
        <w:br w:type="page"/>
      </w:r>
    </w:p>
    <w:p>
      <w:pPr>
        <w:pStyle w:val="TableCaption"/>
        <w:rPr/>
      </w:pPr>
      <w:bookmarkStart w:id="24" w:name="tab%3AE3bglobalcogres"/>
      <w:bookmarkEnd w:id="24"/>
      <w:r>
        <w:rPr/>
        <w:t>Table 7: Interaction of gender and WMH progression on general cognitive function</w:t>
      </w:r>
    </w:p>
    <w:tbl>
      <w:tblPr>
        <w:tblW w:w="4000" w:type="pct"/>
        <w:jc w:val="center"/>
        <w:tblInd w:w="0" w:type="dxa"/>
        <w:tblLayout w:type="fixed"/>
        <w:tblCellMar>
          <w:top w:w="0" w:type="dxa"/>
          <w:left w:w="0" w:type="dxa"/>
          <w:bottom w:w="0" w:type="dxa"/>
          <w:right w:w="0" w:type="dxa"/>
        </w:tblCellMar>
        <w:tblLook w:noHBand="0" w:noVBand="1" w:firstColumn="0" w:lastRow="0" w:lastColumn="0" w:firstRow="1"/>
      </w:tblPr>
      <w:tblGrid>
        <w:gridCol w:w="2496"/>
        <w:gridCol w:w="2496"/>
        <w:gridCol w:w="2496"/>
      </w:tblGrid>
      <w:tr>
        <w:trPr>
          <w:tblHeader w:val="true"/>
          <w:trHeight w:val="480" w:hRule="atLeast"/>
        </w:trPr>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
          </w:p>
        </w:tc>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Estimate [95 % CI]</w:t>
            </w:r>
          </w:p>
        </w:tc>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p-value</w:t>
            </w:r>
          </w:p>
        </w:tc>
      </w:tr>
      <w:tr>
        <w:trPr>
          <w:trHeight w:val="360" w:hRule="atLeast"/>
        </w:trPr>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Age at baseline</w:t>
            </w:r>
          </w:p>
        </w:tc>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-0.045 [-0.053, -0.037]</w:t>
            </w:r>
          </w:p>
        </w:tc>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&lt;0.001</w:t>
            </w:r>
          </w:p>
        </w:tc>
      </w:tr>
      <w:tr>
        <w:trPr>
          <w:trHeight w:val="360" w:hRule="atLeast"/>
        </w:trPr>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Time between baseline and followup</w:t>
            </w:r>
          </w:p>
        </w:tc>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-0.040 [-0.052, -0.028]</w:t>
            </w:r>
          </w:p>
        </w:tc>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&lt;0.001</w:t>
            </w:r>
          </w:p>
        </w:tc>
      </w:tr>
      <w:tr>
        <w:trPr>
          <w:trHeight w:val="360" w:hRule="atLeast"/>
        </w:trPr>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Asinh-transformed WMH volume baseline</w:t>
            </w:r>
          </w:p>
        </w:tc>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-0.044 [-0.135, 0.046]</w:t>
            </w:r>
          </w:p>
        </w:tc>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0.337</w:t>
            </w:r>
          </w:p>
        </w:tc>
      </w:tr>
      <w:tr>
        <w:trPr>
          <w:trHeight w:val="360" w:hRule="atLeast"/>
        </w:trPr>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Change in Asinh-transformed WMH volume</w:t>
            </w:r>
          </w:p>
        </w:tc>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-0.231 [-0.463, 0.002]</w:t>
            </w:r>
          </w:p>
        </w:tc>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0.052</w:t>
            </w:r>
          </w:p>
        </w:tc>
      </w:tr>
      <w:tr>
        <w:trPr>
          <w:trHeight w:val="360" w:hRule="atLeast"/>
        </w:trPr>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Gender (males=1)</w:t>
            </w:r>
          </w:p>
        </w:tc>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-0.273 [-0.422, -0.125]</w:t>
            </w:r>
          </w:p>
        </w:tc>
        <w:tc>
          <w:tcPr>
            <w:tcW w:w="2496" w:type="dxa"/>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&lt;0.001</w:t>
            </w:r>
          </w:p>
        </w:tc>
      </w:tr>
      <w:tr>
        <w:trPr>
          <w:trHeight w:val="360" w:hRule="atLeast"/>
        </w:trPr>
        <w:tc>
          <w:tcPr>
            <w:tcW w:w="2496" w:type="dxa"/>
            <w:tcBorders>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Interaction of gender and Asinh-transformed WMH change</w:t>
            </w:r>
          </w:p>
        </w:tc>
        <w:tc>
          <w:tcPr>
            <w:tcW w:w="2496" w:type="dxa"/>
            <w:tcBorders>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-0.160 [-0.427, 0.107]</w:t>
            </w:r>
          </w:p>
        </w:tc>
        <w:tc>
          <w:tcPr>
            <w:tcW w:w="2496" w:type="dxa"/>
            <w:tcBorders>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DejaVu Sans" w:cs="DejaVu Sans" w:ascii="DejaVu Sans" w:hAnsi="DejaVu Sans"/>
                <w:b w:val="false"/>
                <w:i w:val="false"/>
                <w:color w:val="000000"/>
                <w:sz w:val="22"/>
                <w:szCs w:val="22"/>
                <w:u w:val="none"/>
              </w:rPr>
              <w:t>0.239</w:t>
            </w:r>
          </w:p>
        </w:tc>
      </w:tr>
    </w:tbl>
    <w:p>
      <w:pPr>
        <w:pStyle w:val="Normal"/>
        <w:rPr/>
      </w:pPr>
      <w:r>
        <w:rPr/>
      </w:r>
      <w:bookmarkStart w:id="25" w:name="interaction-models"/>
      <w:bookmarkStart w:id="26" w:name="Xe4c85c6ffacafc4d6d642d66726e554f5921d83"/>
      <w:bookmarkStart w:id="27" w:name="interaction-models"/>
      <w:bookmarkStart w:id="28" w:name="Xe4c85c6ffacafc4d6d642d66726e554f5921d83"/>
      <w:bookmarkEnd w:id="27"/>
      <w:bookmarkEnd w:id="28"/>
      <w:r>
        <w:br w:type="page"/>
      </w:r>
    </w:p>
    <w:p>
      <w:pPr>
        <w:pStyle w:val="Normal"/>
        <w:rPr>
          <w:rFonts w:ascii="Arial" w:hAnsi="Arial"/>
        </w:rPr>
      </w:pPr>
      <w:r>
        <w:rPr>
          <w:rFonts w:ascii="Arial" w:hAnsi="Arial"/>
          <w:b/>
          <w:lang w:val="en-US"/>
        </w:rPr>
        <w:t xml:space="preserve">Supplementary Table </w:t>
      </w:r>
      <w:r>
        <w:rPr>
          <w:rFonts w:ascii="Arial" w:hAnsi="Arial"/>
          <w:b/>
          <w:lang w:val="en-US"/>
        </w:rPr>
        <w:t>8</w:t>
      </w:r>
      <w:r>
        <w:rPr>
          <w:rFonts w:ascii="Arial" w:hAnsi="Arial"/>
          <w:lang w:val="en-US"/>
        </w:rPr>
        <w:t>: Constructs &amp; Variables from LIFE-Adult</w:t>
      </w:r>
    </w:p>
    <w:tbl>
      <w:tblPr>
        <w:tblStyle w:val="TableGrid"/>
        <w:tblW w:w="9062"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2424"/>
        <w:gridCol w:w="1959"/>
        <w:gridCol w:w="3119"/>
        <w:gridCol w:w="1559"/>
      </w:tblGrid>
      <w:tr>
        <w:trPr/>
        <w:tc>
          <w:tcPr>
            <w:tcW w:w="2424" w:type="dxa"/>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t>Construct</w:t>
            </w:r>
          </w:p>
        </w:tc>
        <w:tc>
          <w:tcPr>
            <w:tcW w:w="1959" w:type="dxa"/>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t>Variable</w:t>
            </w:r>
          </w:p>
        </w:tc>
        <w:tc>
          <w:tcPr>
            <w:tcW w:w="3119" w:type="dxa"/>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t>LIFE-Adults Questionnaire name and field</w:t>
            </w:r>
          </w:p>
        </w:tc>
        <w:tc>
          <w:tcPr>
            <w:tcW w:w="1559" w:type="dxa"/>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t>Timepoint for which measure is available</w:t>
            </w:r>
          </w:p>
        </w:tc>
      </w:tr>
      <w:tr>
        <w:trPr/>
        <w:tc>
          <w:tcPr>
            <w:tcW w:w="9061" w:type="dxa"/>
            <w:gridSpan w:val="4"/>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b/>
                <w:kern w:val="0"/>
                <w:szCs w:val="22"/>
              </w:rPr>
              <w:t>Variables for exclusion</w:t>
            </w:r>
          </w:p>
        </w:tc>
      </w:tr>
      <w:tr>
        <w:trPr>
          <w:trHeight w:val="672" w:hRule="atLeast"/>
        </w:trPr>
        <w:tc>
          <w:tcPr>
            <w:tcW w:w="2424" w:type="dxa"/>
            <w:vMerge w:val="restart"/>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t xml:space="preserve">Conditions to ensure we are looking at a healthy sample </w:t>
            </w:r>
          </w:p>
        </w:tc>
        <w:tc>
          <w:tcPr>
            <w:tcW w:w="1959" w:type="dxa"/>
            <w:vMerge w:val="restart"/>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t>Life-time diagnosis of MS, PD, epilepsy</w:t>
            </w:r>
          </w:p>
        </w:tc>
        <w:tc>
          <w:tcPr>
            <w:tcW w:w="3119" w:type="dxa"/>
            <w:tcBorders/>
            <w:shd w:color="auto" w:fill="auto" w:val="clear"/>
          </w:tcPr>
          <w:p>
            <w:pPr>
              <w:pStyle w:val="Normal"/>
              <w:widowControl w:val="false"/>
              <w:spacing w:lineRule="auto" w:line="240" w:before="0" w:after="0"/>
              <w:jc w:val="left"/>
              <w:rPr>
                <w:rFonts w:ascii="Arial" w:hAnsi="Arial"/>
                <w:kern w:val="0"/>
                <w:szCs w:val="22"/>
                <w:lang w:val="de-DE"/>
              </w:rPr>
            </w:pPr>
            <w:r>
              <w:rPr>
                <w:rFonts w:ascii="Arial" w:hAnsi="Arial"/>
                <w:kern w:val="0"/>
                <w:szCs w:val="22"/>
                <w:lang w:val="de-DE"/>
              </w:rPr>
              <w:t>Medical anamnese (T00173)</w:t>
            </w:r>
          </w:p>
          <w:p>
            <w:pPr>
              <w:pStyle w:val="Normal"/>
              <w:widowControl w:val="false"/>
              <w:spacing w:lineRule="auto" w:line="240" w:before="0" w:after="0"/>
              <w:jc w:val="left"/>
              <w:rPr>
                <w:rFonts w:ascii="Arial" w:hAnsi="Arial"/>
                <w:kern w:val="0"/>
                <w:szCs w:val="22"/>
                <w:lang w:val="de-DE"/>
              </w:rPr>
            </w:pPr>
            <w:r>
              <w:rPr>
                <w:rFonts w:ascii="Arial" w:hAnsi="Arial"/>
                <w:kern w:val="0"/>
                <w:szCs w:val="22"/>
                <w:lang w:val="de-DE"/>
              </w:rPr>
              <w:t>MEDANAM_F0171, MEDANAM_F0179,</w:t>
            </w:r>
          </w:p>
          <w:p>
            <w:pPr>
              <w:pStyle w:val="Normal"/>
              <w:widowControl w:val="false"/>
              <w:spacing w:lineRule="auto" w:line="240" w:before="0" w:after="0"/>
              <w:jc w:val="left"/>
              <w:rPr>
                <w:rFonts w:ascii="Arial" w:hAnsi="Arial"/>
                <w:kern w:val="0"/>
                <w:szCs w:val="22"/>
              </w:rPr>
            </w:pPr>
            <w:r>
              <w:rPr>
                <w:rFonts w:ascii="Arial" w:hAnsi="Arial"/>
                <w:kern w:val="0"/>
                <w:szCs w:val="22"/>
              </w:rPr>
              <w:t>MEDANAM_F0167</w:t>
            </w:r>
          </w:p>
        </w:tc>
        <w:tc>
          <w:tcPr>
            <w:tcW w:w="1559" w:type="dxa"/>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t xml:space="preserve">Baseline </w:t>
            </w:r>
          </w:p>
        </w:tc>
      </w:tr>
      <w:tr>
        <w:trPr>
          <w:trHeight w:val="671" w:hRule="atLeast"/>
        </w:trPr>
        <w:tc>
          <w:tcPr>
            <w:tcW w:w="2424" w:type="dxa"/>
            <w:vMerge w:val="continue"/>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r>
          </w:p>
        </w:tc>
        <w:tc>
          <w:tcPr>
            <w:tcW w:w="1959" w:type="dxa"/>
            <w:vMerge w:val="continue"/>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r>
          </w:p>
        </w:tc>
        <w:tc>
          <w:tcPr>
            <w:tcW w:w="3119" w:type="dxa"/>
            <w:tcBorders/>
            <w:shd w:color="auto" w:fill="auto" w:val="clear"/>
          </w:tcPr>
          <w:p>
            <w:pPr>
              <w:pStyle w:val="Normal"/>
              <w:widowControl w:val="false"/>
              <w:spacing w:lineRule="auto" w:line="240" w:before="0" w:after="0"/>
              <w:jc w:val="left"/>
              <w:rPr>
                <w:rFonts w:ascii="Arial" w:hAnsi="Arial"/>
                <w:kern w:val="0"/>
                <w:szCs w:val="22"/>
                <w:lang w:val="de-DE"/>
              </w:rPr>
            </w:pPr>
            <w:r>
              <w:rPr>
                <w:rFonts w:ascii="Arial" w:hAnsi="Arial"/>
                <w:kern w:val="0"/>
                <w:szCs w:val="22"/>
                <w:lang w:val="de-DE"/>
              </w:rPr>
              <w:t>Medical anamnese (T01228)</w:t>
              <w:br/>
              <w:t>MEDIZ_AN_F26</w:t>
            </w:r>
          </w:p>
          <w:p>
            <w:pPr>
              <w:pStyle w:val="Normal"/>
              <w:widowControl w:val="false"/>
              <w:spacing w:lineRule="auto" w:line="240" w:before="0" w:after="0"/>
              <w:jc w:val="left"/>
              <w:rPr>
                <w:rFonts w:ascii="Arial" w:hAnsi="Arial"/>
                <w:kern w:val="0"/>
                <w:szCs w:val="22"/>
                <w:lang w:val="de-DE"/>
              </w:rPr>
            </w:pPr>
            <w:r>
              <w:rPr>
                <w:rFonts w:ascii="Arial" w:hAnsi="Arial"/>
                <w:kern w:val="0"/>
                <w:szCs w:val="22"/>
                <w:lang w:val="de-DE"/>
              </w:rPr>
              <w:t>MEDIZ_AN_F27</w:t>
            </w:r>
          </w:p>
          <w:p>
            <w:pPr>
              <w:pStyle w:val="Normal"/>
              <w:widowControl w:val="false"/>
              <w:spacing w:lineRule="auto" w:line="240" w:before="0" w:after="0"/>
              <w:jc w:val="left"/>
              <w:rPr>
                <w:rFonts w:ascii="Arial" w:hAnsi="Arial"/>
                <w:kern w:val="0"/>
                <w:szCs w:val="22"/>
              </w:rPr>
            </w:pPr>
            <w:r>
              <w:rPr>
                <w:rFonts w:ascii="Arial" w:hAnsi="Arial"/>
                <w:kern w:val="0"/>
                <w:szCs w:val="22"/>
              </w:rPr>
              <w:t>MEDIZ_AN_F31 (free field, used to screen for epilepsy)</w:t>
            </w:r>
          </w:p>
        </w:tc>
        <w:tc>
          <w:tcPr>
            <w:tcW w:w="1559" w:type="dxa"/>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t>Followup</w:t>
            </w:r>
          </w:p>
        </w:tc>
      </w:tr>
      <w:tr>
        <w:trPr>
          <w:trHeight w:val="716" w:hRule="atLeast"/>
        </w:trPr>
        <w:tc>
          <w:tcPr>
            <w:tcW w:w="2424" w:type="dxa"/>
            <w:vMerge w:val="continue"/>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r>
          </w:p>
        </w:tc>
        <w:tc>
          <w:tcPr>
            <w:tcW w:w="1959" w:type="dxa"/>
            <w:vMerge w:val="restart"/>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t>Previous stroke</w:t>
            </w:r>
          </w:p>
          <w:p>
            <w:pPr>
              <w:pStyle w:val="Normal"/>
              <w:widowControl w:val="false"/>
              <w:spacing w:lineRule="auto" w:line="240" w:before="0" w:after="0"/>
              <w:jc w:val="left"/>
              <w:rPr>
                <w:rFonts w:ascii="Arial" w:hAnsi="Arial"/>
                <w:kern w:val="0"/>
                <w:szCs w:val="22"/>
              </w:rPr>
            </w:pPr>
            <w:r>
              <w:rPr>
                <w:rFonts w:ascii="Arial" w:hAnsi="Arial"/>
                <w:kern w:val="0"/>
                <w:szCs w:val="22"/>
              </w:rPr>
            </w:r>
          </w:p>
        </w:tc>
        <w:tc>
          <w:tcPr>
            <w:tcW w:w="3119" w:type="dxa"/>
            <w:tcBorders/>
            <w:shd w:color="auto" w:fill="auto" w:val="clear"/>
          </w:tcPr>
          <w:p>
            <w:pPr>
              <w:pStyle w:val="Normal"/>
              <w:widowControl w:val="false"/>
              <w:spacing w:lineRule="auto" w:line="240" w:before="0" w:after="0"/>
              <w:jc w:val="left"/>
              <w:rPr>
                <w:rFonts w:ascii="Arial" w:hAnsi="Arial"/>
                <w:kern w:val="0"/>
                <w:szCs w:val="22"/>
                <w:lang w:val="de-DE"/>
              </w:rPr>
            </w:pPr>
            <w:r>
              <w:rPr>
                <w:rFonts w:ascii="Arial" w:hAnsi="Arial"/>
                <w:kern w:val="0"/>
                <w:szCs w:val="22"/>
                <w:lang w:val="de-DE"/>
              </w:rPr>
              <w:t>Medical anamnese (T00173)</w:t>
            </w:r>
          </w:p>
          <w:p>
            <w:pPr>
              <w:pStyle w:val="Normal"/>
              <w:widowControl w:val="false"/>
              <w:spacing w:lineRule="auto" w:line="240" w:before="0" w:after="0"/>
              <w:jc w:val="left"/>
              <w:rPr>
                <w:rFonts w:ascii="Arial" w:hAnsi="Arial"/>
                <w:kern w:val="0"/>
                <w:szCs w:val="22"/>
                <w:lang w:val="de-DE"/>
              </w:rPr>
            </w:pPr>
            <w:r>
              <w:rPr>
                <w:rFonts w:ascii="Arial" w:hAnsi="Arial"/>
                <w:kern w:val="0"/>
                <w:szCs w:val="22"/>
                <w:lang w:val="de-DE"/>
              </w:rPr>
            </w:r>
          </w:p>
        </w:tc>
        <w:tc>
          <w:tcPr>
            <w:tcW w:w="1559" w:type="dxa"/>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t>Baseline</w:t>
            </w:r>
          </w:p>
        </w:tc>
      </w:tr>
      <w:tr>
        <w:trPr>
          <w:trHeight w:val="715" w:hRule="atLeast"/>
        </w:trPr>
        <w:tc>
          <w:tcPr>
            <w:tcW w:w="2424" w:type="dxa"/>
            <w:vMerge w:val="continue"/>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r>
          </w:p>
        </w:tc>
        <w:tc>
          <w:tcPr>
            <w:tcW w:w="1959" w:type="dxa"/>
            <w:vMerge w:val="continue"/>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r>
          </w:p>
        </w:tc>
        <w:tc>
          <w:tcPr>
            <w:tcW w:w="3119" w:type="dxa"/>
            <w:tcBorders/>
            <w:shd w:color="auto" w:fill="auto" w:val="clear"/>
          </w:tcPr>
          <w:p>
            <w:pPr>
              <w:pStyle w:val="Normal"/>
              <w:widowControl w:val="false"/>
              <w:spacing w:lineRule="auto" w:line="240" w:before="0" w:after="0"/>
              <w:jc w:val="left"/>
              <w:rPr>
                <w:rFonts w:ascii="Arial" w:hAnsi="Arial"/>
                <w:kern w:val="0"/>
                <w:szCs w:val="22"/>
                <w:lang w:val="de-DE"/>
              </w:rPr>
            </w:pPr>
            <w:r>
              <w:rPr>
                <w:rFonts w:ascii="Arial" w:hAnsi="Arial"/>
                <w:kern w:val="0"/>
                <w:szCs w:val="22"/>
                <w:lang w:val="de-DE"/>
              </w:rPr>
              <w:t>Cardiovascular anamnese (T01226)</w:t>
            </w:r>
          </w:p>
        </w:tc>
        <w:tc>
          <w:tcPr>
            <w:tcW w:w="1559" w:type="dxa"/>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t>Followup</w:t>
            </w:r>
          </w:p>
        </w:tc>
      </w:tr>
      <w:tr>
        <w:trPr>
          <w:trHeight w:val="715" w:hRule="atLeast"/>
        </w:trPr>
        <w:tc>
          <w:tcPr>
            <w:tcW w:w="2424" w:type="dxa"/>
            <w:vMerge w:val="continue"/>
            <w:tcBorders/>
            <w:shd w:color="auto" w:fill="auto" w:val="clear"/>
          </w:tcPr>
          <w:p>
            <w:pPr>
              <w:pStyle w:val="Normal"/>
              <w:widowControl w:val="false"/>
              <w:spacing w:lineRule="auto" w:line="240" w:before="0" w:after="0"/>
              <w:jc w:val="left"/>
              <w:rPr>
                <w:rFonts w:ascii="Arial" w:hAnsi="Arial"/>
                <w:kern w:val="0"/>
                <w:szCs w:val="22"/>
                <w:lang w:val="de-DE"/>
              </w:rPr>
            </w:pPr>
            <w:r>
              <w:rPr>
                <w:rFonts w:ascii="Arial" w:hAnsi="Arial"/>
                <w:kern w:val="0"/>
                <w:szCs w:val="22"/>
                <w:lang w:val="de-DE"/>
              </w:rPr>
            </w:r>
          </w:p>
        </w:tc>
        <w:tc>
          <w:tcPr>
            <w:tcW w:w="1959" w:type="dxa"/>
            <w:vMerge w:val="continue"/>
            <w:tcBorders/>
            <w:shd w:color="auto" w:fill="auto" w:val="clear"/>
          </w:tcPr>
          <w:p>
            <w:pPr>
              <w:pStyle w:val="Normal"/>
              <w:widowControl w:val="false"/>
              <w:spacing w:lineRule="auto" w:line="240" w:before="0" w:after="0"/>
              <w:jc w:val="left"/>
              <w:rPr>
                <w:rFonts w:ascii="Arial" w:hAnsi="Arial"/>
                <w:kern w:val="0"/>
                <w:szCs w:val="22"/>
                <w:lang w:val="de-DE"/>
              </w:rPr>
            </w:pPr>
            <w:r>
              <w:rPr>
                <w:rFonts w:ascii="Arial" w:hAnsi="Arial"/>
                <w:kern w:val="0"/>
                <w:szCs w:val="22"/>
                <w:lang w:val="de-DE"/>
              </w:rPr>
            </w:r>
          </w:p>
        </w:tc>
        <w:tc>
          <w:tcPr>
            <w:tcW w:w="3119" w:type="dxa"/>
            <w:tcBorders/>
            <w:shd w:color="auto" w:fill="auto" w:val="clear"/>
          </w:tcPr>
          <w:p>
            <w:pPr>
              <w:pStyle w:val="Normal"/>
              <w:widowControl w:val="false"/>
              <w:spacing w:lineRule="auto" w:line="240" w:before="0" w:after="0"/>
              <w:jc w:val="left"/>
              <w:rPr>
                <w:rFonts w:ascii="Arial" w:hAnsi="Arial"/>
                <w:kern w:val="0"/>
                <w:szCs w:val="22"/>
                <w:lang w:val="en-US"/>
              </w:rPr>
            </w:pPr>
            <w:r>
              <w:rPr>
                <w:rFonts w:ascii="Arial" w:hAnsi="Arial"/>
                <w:kern w:val="0"/>
                <w:szCs w:val="22"/>
                <w:lang w:val="en-US"/>
              </w:rPr>
              <w:t>Lesion diagnosed by radiologist (ischemic, hemorraghic, traumatic lesions)</w:t>
            </w:r>
          </w:p>
        </w:tc>
        <w:tc>
          <w:tcPr>
            <w:tcW w:w="1559" w:type="dxa"/>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t>Baseline &amp; Followup</w:t>
            </w:r>
          </w:p>
        </w:tc>
      </w:tr>
      <w:tr>
        <w:trPr>
          <w:trHeight w:val="942" w:hRule="atLeast"/>
        </w:trPr>
        <w:tc>
          <w:tcPr>
            <w:tcW w:w="2424" w:type="dxa"/>
            <w:vMerge w:val="continue"/>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r>
          </w:p>
        </w:tc>
        <w:tc>
          <w:tcPr>
            <w:tcW w:w="1959" w:type="dxa"/>
            <w:vMerge w:val="restart"/>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t>Incidental findings/non-usability of MRI</w:t>
            </w:r>
          </w:p>
        </w:tc>
        <w:tc>
          <w:tcPr>
            <w:tcW w:w="3119" w:type="dxa"/>
            <w:tcBorders/>
            <w:shd w:color="auto" w:fill="auto" w:val="clear"/>
          </w:tcPr>
          <w:p>
            <w:pPr>
              <w:pStyle w:val="Normal"/>
              <w:widowControl w:val="false"/>
              <w:spacing w:lineRule="auto" w:line="240" w:before="0" w:after="0"/>
              <w:jc w:val="left"/>
              <w:rPr>
                <w:rFonts w:ascii="Arial" w:hAnsi="Arial"/>
                <w:kern w:val="0"/>
                <w:szCs w:val="22"/>
                <w:lang w:val="en-US"/>
              </w:rPr>
            </w:pPr>
            <w:r>
              <w:rPr>
                <w:rFonts w:ascii="Arial" w:hAnsi="Arial"/>
                <w:kern w:val="0"/>
                <w:szCs w:val="22"/>
                <w:lang w:val="en-US"/>
              </w:rPr>
              <w:t>Radiologist’s rating (“non usable”)</w:t>
            </w:r>
          </w:p>
          <w:p>
            <w:pPr>
              <w:pStyle w:val="Normal"/>
              <w:widowControl w:val="false"/>
              <w:spacing w:lineRule="auto" w:line="240" w:before="0" w:after="0"/>
              <w:jc w:val="left"/>
              <w:rPr>
                <w:rFonts w:ascii="Arial" w:hAnsi="Arial"/>
                <w:kern w:val="0"/>
                <w:szCs w:val="22"/>
                <w:lang w:val="en-US"/>
              </w:rPr>
            </w:pPr>
            <w:r>
              <w:rPr>
                <w:rFonts w:ascii="Arial" w:hAnsi="Arial"/>
                <w:kern w:val="0"/>
                <w:szCs w:val="22"/>
                <w:lang w:val="en-US"/>
              </w:rPr>
              <w:t>Radiologist’s rating (incidental finding)</w:t>
            </w:r>
          </w:p>
          <w:p>
            <w:pPr>
              <w:pStyle w:val="Normal"/>
              <w:widowControl w:val="false"/>
              <w:spacing w:lineRule="auto" w:line="240" w:before="0" w:after="0"/>
              <w:jc w:val="left"/>
              <w:rPr>
                <w:rFonts w:ascii="Arial" w:hAnsi="Arial"/>
                <w:kern w:val="0"/>
                <w:szCs w:val="22"/>
                <w:lang w:val="en-US"/>
              </w:rPr>
            </w:pPr>
            <w:r>
              <w:rPr>
                <w:rFonts w:ascii="Arial" w:hAnsi="Arial"/>
                <w:kern w:val="0"/>
                <w:szCs w:val="22"/>
                <w:lang w:val="en-US"/>
              </w:rPr>
            </w:r>
          </w:p>
        </w:tc>
        <w:tc>
          <w:tcPr>
            <w:tcW w:w="1559" w:type="dxa"/>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t>Baseline</w:t>
            </w:r>
          </w:p>
        </w:tc>
      </w:tr>
      <w:tr>
        <w:trPr>
          <w:trHeight w:val="941" w:hRule="atLeast"/>
        </w:trPr>
        <w:tc>
          <w:tcPr>
            <w:tcW w:w="2424" w:type="dxa"/>
            <w:vMerge w:val="continue"/>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r>
          </w:p>
        </w:tc>
        <w:tc>
          <w:tcPr>
            <w:tcW w:w="1959" w:type="dxa"/>
            <w:vMerge w:val="continue"/>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r>
          </w:p>
        </w:tc>
        <w:tc>
          <w:tcPr>
            <w:tcW w:w="3119" w:type="dxa"/>
            <w:tcBorders/>
            <w:shd w:color="auto" w:fill="auto" w:val="clear"/>
          </w:tcPr>
          <w:p>
            <w:pPr>
              <w:pStyle w:val="Normal"/>
              <w:widowControl w:val="false"/>
              <w:spacing w:lineRule="auto" w:line="240" w:before="0" w:after="0"/>
              <w:jc w:val="left"/>
              <w:rPr>
                <w:rFonts w:ascii="Arial" w:hAnsi="Arial"/>
                <w:kern w:val="0"/>
                <w:szCs w:val="22"/>
                <w:lang w:val="en-US"/>
              </w:rPr>
            </w:pPr>
            <w:r>
              <w:rPr>
                <w:rFonts w:ascii="Arial" w:hAnsi="Arial"/>
                <w:kern w:val="0"/>
                <w:szCs w:val="22"/>
                <w:lang w:val="en-US"/>
              </w:rPr>
              <w:t>Radiologist’s rating (“non usable”)</w:t>
            </w:r>
          </w:p>
          <w:p>
            <w:pPr>
              <w:pStyle w:val="Normal"/>
              <w:widowControl w:val="false"/>
              <w:spacing w:lineRule="auto" w:line="240" w:before="0" w:after="0"/>
              <w:jc w:val="left"/>
              <w:rPr>
                <w:rFonts w:ascii="Arial" w:hAnsi="Arial"/>
                <w:kern w:val="0"/>
                <w:szCs w:val="22"/>
                <w:lang w:val="en-US"/>
              </w:rPr>
            </w:pPr>
            <w:r>
              <w:rPr>
                <w:rFonts w:ascii="Arial" w:hAnsi="Arial"/>
                <w:kern w:val="0"/>
                <w:szCs w:val="22"/>
                <w:lang w:val="en-US"/>
              </w:rPr>
              <w:t>Radiologist’s rating (incidental finding)</w:t>
            </w:r>
          </w:p>
          <w:p>
            <w:pPr>
              <w:pStyle w:val="Normal"/>
              <w:widowControl w:val="false"/>
              <w:spacing w:lineRule="auto" w:line="240" w:before="0" w:after="0"/>
              <w:jc w:val="left"/>
              <w:rPr>
                <w:rFonts w:ascii="Arial" w:hAnsi="Arial"/>
                <w:kern w:val="0"/>
                <w:szCs w:val="22"/>
                <w:lang w:val="en-US"/>
              </w:rPr>
            </w:pPr>
            <w:r>
              <w:rPr>
                <w:rFonts w:ascii="Arial" w:hAnsi="Arial"/>
                <w:kern w:val="0"/>
                <w:szCs w:val="22"/>
                <w:lang w:val="en-US"/>
              </w:rPr>
            </w:r>
          </w:p>
        </w:tc>
        <w:tc>
          <w:tcPr>
            <w:tcW w:w="1559" w:type="dxa"/>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t>Followup</w:t>
            </w:r>
          </w:p>
        </w:tc>
      </w:tr>
      <w:tr>
        <w:trPr>
          <w:trHeight w:val="1100" w:hRule="atLeast"/>
        </w:trPr>
        <w:tc>
          <w:tcPr>
            <w:tcW w:w="2424" w:type="dxa"/>
            <w:vMerge w:val="continue"/>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r>
          </w:p>
        </w:tc>
        <w:tc>
          <w:tcPr>
            <w:tcW w:w="1959" w:type="dxa"/>
            <w:vMerge w:val="restart"/>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t>Dementia or cognitive impairment</w:t>
            </w:r>
          </w:p>
        </w:tc>
        <w:tc>
          <w:tcPr>
            <w:tcW w:w="3119" w:type="dxa"/>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t>T00043 SIDAM</w:t>
            </w:r>
          </w:p>
          <w:p>
            <w:pPr>
              <w:pStyle w:val="Normal"/>
              <w:widowControl w:val="false"/>
              <w:spacing w:lineRule="auto" w:line="240" w:before="0" w:after="0"/>
              <w:jc w:val="left"/>
              <w:rPr>
                <w:rFonts w:ascii="Arial" w:hAnsi="Arial"/>
                <w:kern w:val="0"/>
                <w:szCs w:val="22"/>
              </w:rPr>
            </w:pPr>
            <w:r>
              <w:rPr>
                <w:rFonts w:ascii="Arial" w:hAnsi="Arial"/>
                <w:kern w:val="0"/>
                <w:szCs w:val="22"/>
              </w:rPr>
              <w:t xml:space="preserve">MMSE &lt; 24 </w:t>
            </w:r>
          </w:p>
        </w:tc>
        <w:tc>
          <w:tcPr>
            <w:tcW w:w="1559" w:type="dxa"/>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t>Baseline</w:t>
            </w:r>
          </w:p>
        </w:tc>
      </w:tr>
      <w:tr>
        <w:trPr>
          <w:trHeight w:val="1100" w:hRule="atLeast"/>
        </w:trPr>
        <w:tc>
          <w:tcPr>
            <w:tcW w:w="2424" w:type="dxa"/>
            <w:vMerge w:val="continue"/>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r>
          </w:p>
        </w:tc>
        <w:tc>
          <w:tcPr>
            <w:tcW w:w="1959" w:type="dxa"/>
            <w:vMerge w:val="continue"/>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r>
          </w:p>
        </w:tc>
        <w:tc>
          <w:tcPr>
            <w:tcW w:w="3119" w:type="dxa"/>
            <w:tcBorders/>
            <w:shd w:color="auto" w:fill="auto" w:val="clear"/>
          </w:tcPr>
          <w:p>
            <w:pPr>
              <w:pStyle w:val="Normal"/>
              <w:widowControl w:val="false"/>
              <w:spacing w:lineRule="auto" w:line="240" w:before="0" w:after="0"/>
              <w:jc w:val="left"/>
              <w:rPr>
                <w:rFonts w:ascii="Arial" w:hAnsi="Arial"/>
                <w:kern w:val="0"/>
                <w:szCs w:val="22"/>
                <w:lang w:val="de-DE"/>
              </w:rPr>
            </w:pPr>
            <w:r>
              <w:rPr>
                <w:rFonts w:ascii="Arial" w:hAnsi="Arial"/>
                <w:kern w:val="0"/>
                <w:szCs w:val="22"/>
                <w:lang w:val="de-DE"/>
              </w:rPr>
              <w:t>T00043 SIDAM</w:t>
            </w:r>
          </w:p>
          <w:p>
            <w:pPr>
              <w:pStyle w:val="Normal"/>
              <w:widowControl w:val="false"/>
              <w:spacing w:lineRule="auto" w:line="240" w:before="0" w:after="0"/>
              <w:jc w:val="left"/>
              <w:rPr>
                <w:rFonts w:ascii="Arial" w:hAnsi="Arial"/>
                <w:kern w:val="0"/>
                <w:szCs w:val="22"/>
                <w:lang w:val="de-DE"/>
              </w:rPr>
            </w:pPr>
            <w:r>
              <w:rPr>
                <w:rFonts w:ascii="Arial" w:hAnsi="Arial"/>
                <w:kern w:val="0"/>
                <w:szCs w:val="22"/>
                <w:lang w:val="de-DE"/>
              </w:rPr>
              <w:t>MMSE &lt; 24 or</w:t>
            </w:r>
          </w:p>
          <w:p>
            <w:pPr>
              <w:pStyle w:val="Normal"/>
              <w:widowControl w:val="false"/>
              <w:spacing w:lineRule="auto" w:line="240" w:before="0" w:after="0"/>
              <w:jc w:val="left"/>
              <w:rPr>
                <w:rFonts w:ascii="Arial" w:hAnsi="Arial"/>
                <w:kern w:val="0"/>
                <w:szCs w:val="22"/>
                <w:lang w:val="de-DE"/>
              </w:rPr>
            </w:pPr>
            <w:r>
              <w:rPr>
                <w:rFonts w:ascii="Arial" w:hAnsi="Arial"/>
                <w:kern w:val="0"/>
                <w:szCs w:val="22"/>
                <w:lang w:val="de-DE"/>
              </w:rPr>
              <w:t>dementia diagnosis in medical anamnese (T01228)</w:t>
            </w:r>
          </w:p>
          <w:p>
            <w:pPr>
              <w:pStyle w:val="Normal"/>
              <w:widowControl w:val="false"/>
              <w:spacing w:lineRule="auto" w:line="240" w:before="0" w:after="0"/>
              <w:jc w:val="left"/>
              <w:rPr>
                <w:rFonts w:ascii="Arial" w:hAnsi="Arial"/>
                <w:kern w:val="0"/>
                <w:szCs w:val="22"/>
                <w:lang w:val="de-DE"/>
              </w:rPr>
            </w:pPr>
            <w:r>
              <w:rPr>
                <w:rFonts w:ascii="Arial" w:hAnsi="Arial"/>
                <w:kern w:val="0"/>
                <w:szCs w:val="22"/>
                <w:lang w:val="de-DE"/>
              </w:rPr>
              <w:t>MEDIZ_AN_F30</w:t>
            </w:r>
          </w:p>
        </w:tc>
        <w:tc>
          <w:tcPr>
            <w:tcW w:w="1559" w:type="dxa"/>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t>Followup</w:t>
            </w:r>
          </w:p>
        </w:tc>
      </w:tr>
      <w:tr>
        <w:trPr/>
        <w:tc>
          <w:tcPr>
            <w:tcW w:w="2424" w:type="dxa"/>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r>
          </w:p>
        </w:tc>
        <w:tc>
          <w:tcPr>
            <w:tcW w:w="1959" w:type="dxa"/>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t>Intake of centrally active medication</w:t>
            </w:r>
          </w:p>
        </w:tc>
        <w:tc>
          <w:tcPr>
            <w:tcW w:w="3119" w:type="dxa"/>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t>D00038</w:t>
            </w:r>
          </w:p>
          <w:p>
            <w:pPr>
              <w:pStyle w:val="Normal"/>
              <w:widowControl w:val="false"/>
              <w:spacing w:lineRule="auto" w:line="240" w:before="0" w:after="0"/>
              <w:jc w:val="left"/>
              <w:rPr>
                <w:rFonts w:ascii="Arial" w:hAnsi="Arial"/>
                <w:kern w:val="0"/>
                <w:szCs w:val="22"/>
              </w:rPr>
            </w:pPr>
            <w:r>
              <w:rPr>
                <w:rFonts w:ascii="Arial" w:hAnsi="Arial"/>
                <w:kern w:val="0"/>
                <w:szCs w:val="22"/>
              </w:rPr>
              <w:t xml:space="preserve">ATC codes/groups: </w:t>
            </w:r>
          </w:p>
          <w:p>
            <w:pPr>
              <w:pStyle w:val="Normal"/>
              <w:widowControl w:val="false"/>
              <w:spacing w:lineRule="auto" w:line="240" w:before="0" w:after="0"/>
              <w:jc w:val="left"/>
              <w:rPr>
                <w:rFonts w:ascii="Arial" w:hAnsi="Arial"/>
                <w:kern w:val="0"/>
                <w:szCs w:val="22"/>
              </w:rPr>
            </w:pPr>
            <w:r>
              <w:rPr>
                <w:rFonts w:ascii="Arial" w:hAnsi="Arial"/>
                <w:b/>
                <w:kern w:val="0"/>
                <w:szCs w:val="22"/>
              </w:rPr>
              <w:t xml:space="preserve">M03B </w:t>
            </w:r>
            <w:r>
              <w:rPr>
                <w:rFonts w:ascii="Arial" w:hAnsi="Arial"/>
                <w:kern w:val="0"/>
                <w:szCs w:val="22"/>
              </w:rPr>
              <w:t>MUSCLE RELAXANTS, CENTRALLY ACTING AGENTS</w:t>
            </w:r>
          </w:p>
          <w:p>
            <w:pPr>
              <w:pStyle w:val="Normal"/>
              <w:widowControl w:val="false"/>
              <w:spacing w:lineRule="auto" w:line="240" w:before="0" w:after="0"/>
              <w:jc w:val="left"/>
              <w:rPr>
                <w:rFonts w:ascii="Arial" w:hAnsi="Arial"/>
                <w:kern w:val="0"/>
                <w:szCs w:val="22"/>
                <w:lang w:val="en-US"/>
              </w:rPr>
            </w:pPr>
            <w:r>
              <w:rPr>
                <w:rFonts w:ascii="Arial" w:hAnsi="Arial"/>
                <w:b/>
                <w:kern w:val="0"/>
                <w:szCs w:val="22"/>
                <w:lang w:val="en-US"/>
              </w:rPr>
              <w:t>N02A</w:t>
            </w:r>
            <w:r>
              <w:rPr>
                <w:rFonts w:ascii="Arial" w:hAnsi="Arial"/>
                <w:kern w:val="0"/>
                <w:szCs w:val="22"/>
                <w:lang w:val="en-US"/>
              </w:rPr>
              <w:t xml:space="preserve"> OPIOIDS</w:t>
            </w:r>
          </w:p>
          <w:p>
            <w:pPr>
              <w:pStyle w:val="Normal"/>
              <w:widowControl w:val="false"/>
              <w:spacing w:lineRule="auto" w:line="240" w:before="0" w:after="0"/>
              <w:jc w:val="left"/>
              <w:rPr>
                <w:rFonts w:ascii="Arial" w:hAnsi="Arial"/>
                <w:kern w:val="0"/>
                <w:szCs w:val="22"/>
                <w:lang w:val="en-US"/>
              </w:rPr>
            </w:pPr>
            <w:r>
              <w:rPr>
                <w:rFonts w:ascii="Arial" w:hAnsi="Arial"/>
                <w:b/>
                <w:kern w:val="0"/>
                <w:szCs w:val="22"/>
                <w:lang w:val="en-US"/>
              </w:rPr>
              <w:t>N03</w:t>
            </w:r>
            <w:r>
              <w:rPr>
                <w:rFonts w:ascii="Arial" w:hAnsi="Arial"/>
                <w:kern w:val="0"/>
                <w:szCs w:val="22"/>
                <w:lang w:val="en-US"/>
              </w:rPr>
              <w:t xml:space="preserve"> ANTIEPILEPTICS</w:t>
            </w:r>
          </w:p>
          <w:p>
            <w:pPr>
              <w:pStyle w:val="Normal"/>
              <w:widowControl w:val="false"/>
              <w:spacing w:lineRule="auto" w:line="240" w:before="0" w:after="0"/>
              <w:jc w:val="left"/>
              <w:rPr>
                <w:rFonts w:ascii="Arial" w:hAnsi="Arial"/>
                <w:kern w:val="0"/>
                <w:szCs w:val="22"/>
                <w:lang w:val="en-US"/>
              </w:rPr>
            </w:pPr>
            <w:r>
              <w:rPr>
                <w:rFonts w:ascii="Arial" w:hAnsi="Arial"/>
                <w:b/>
                <w:kern w:val="0"/>
                <w:szCs w:val="22"/>
                <w:lang w:val="en-US"/>
              </w:rPr>
              <w:t>N04</w:t>
            </w:r>
            <w:r>
              <w:rPr>
                <w:rFonts w:ascii="Arial" w:hAnsi="Arial"/>
                <w:kern w:val="0"/>
                <w:szCs w:val="22"/>
                <w:lang w:val="en-US"/>
              </w:rPr>
              <w:t xml:space="preserve"> ANTI-PARKINSON DRUGS</w:t>
            </w:r>
          </w:p>
          <w:p>
            <w:pPr>
              <w:pStyle w:val="Normal"/>
              <w:widowControl w:val="false"/>
              <w:spacing w:lineRule="auto" w:line="240" w:before="0" w:after="0"/>
              <w:jc w:val="left"/>
              <w:rPr>
                <w:rFonts w:ascii="Arial" w:hAnsi="Arial"/>
                <w:kern w:val="0"/>
                <w:szCs w:val="22"/>
                <w:lang w:val="en-US"/>
              </w:rPr>
            </w:pPr>
            <w:r>
              <w:rPr>
                <w:rFonts w:ascii="Arial" w:hAnsi="Arial"/>
                <w:b/>
                <w:kern w:val="0"/>
                <w:szCs w:val="22"/>
                <w:lang w:val="en-US"/>
              </w:rPr>
              <w:t>N05</w:t>
            </w:r>
            <w:r>
              <w:rPr>
                <w:rFonts w:ascii="Arial" w:hAnsi="Arial"/>
                <w:kern w:val="0"/>
                <w:szCs w:val="22"/>
                <w:lang w:val="en-US"/>
              </w:rPr>
              <w:t xml:space="preserve"> PSYCHOLEPTICS</w:t>
            </w:r>
          </w:p>
          <w:p>
            <w:pPr>
              <w:pStyle w:val="Normal"/>
              <w:widowControl w:val="false"/>
              <w:spacing w:lineRule="auto" w:line="240" w:before="0" w:after="0"/>
              <w:jc w:val="left"/>
              <w:rPr>
                <w:rFonts w:ascii="Arial" w:hAnsi="Arial"/>
                <w:kern w:val="0"/>
                <w:szCs w:val="22"/>
                <w:lang w:val="en-US"/>
              </w:rPr>
            </w:pPr>
            <w:r>
              <w:rPr>
                <w:rFonts w:ascii="Arial" w:hAnsi="Arial"/>
                <w:b/>
                <w:kern w:val="0"/>
                <w:szCs w:val="22"/>
                <w:lang w:val="en-US"/>
              </w:rPr>
              <w:t>N06A</w:t>
            </w:r>
            <w:r>
              <w:rPr>
                <w:rFonts w:ascii="Arial" w:hAnsi="Arial"/>
                <w:kern w:val="0"/>
                <w:szCs w:val="22"/>
                <w:lang w:val="en-US"/>
              </w:rPr>
              <w:t xml:space="preserve"> ANTIDEPRESSANTS</w:t>
            </w:r>
          </w:p>
          <w:p>
            <w:pPr>
              <w:pStyle w:val="Normal"/>
              <w:widowControl w:val="false"/>
              <w:spacing w:lineRule="auto" w:line="240" w:before="0" w:after="0"/>
              <w:jc w:val="left"/>
              <w:rPr>
                <w:rFonts w:ascii="Arial" w:hAnsi="Arial"/>
                <w:kern w:val="0"/>
                <w:szCs w:val="22"/>
                <w:lang w:val="en-US"/>
              </w:rPr>
            </w:pPr>
            <w:r>
              <w:rPr>
                <w:rFonts w:ascii="Arial" w:hAnsi="Arial"/>
                <w:b/>
                <w:kern w:val="0"/>
                <w:szCs w:val="22"/>
                <w:lang w:val="en-US"/>
              </w:rPr>
              <w:t>N06B</w:t>
            </w:r>
            <w:r>
              <w:rPr>
                <w:rFonts w:ascii="Arial" w:hAnsi="Arial"/>
                <w:kern w:val="0"/>
                <w:szCs w:val="22"/>
                <w:lang w:val="en-US"/>
              </w:rPr>
              <w:t xml:space="preserve"> PSYCHOSTIMULANTS, AGENTS USED FOR ADHD AND NOOTROPICS</w:t>
            </w:r>
          </w:p>
          <w:p>
            <w:pPr>
              <w:pStyle w:val="Normal"/>
              <w:widowControl w:val="false"/>
              <w:spacing w:lineRule="auto" w:line="240" w:before="0" w:after="0"/>
              <w:jc w:val="left"/>
              <w:rPr>
                <w:rFonts w:ascii="Arial" w:hAnsi="Arial"/>
                <w:kern w:val="0"/>
                <w:szCs w:val="22"/>
                <w:lang w:val="en-US"/>
              </w:rPr>
            </w:pPr>
            <w:r>
              <w:rPr>
                <w:rFonts w:ascii="Arial" w:hAnsi="Arial"/>
                <w:b/>
                <w:kern w:val="0"/>
                <w:szCs w:val="22"/>
                <w:lang w:val="en-US"/>
              </w:rPr>
              <w:t>N06D</w:t>
            </w:r>
            <w:r>
              <w:rPr>
                <w:rFonts w:ascii="Arial" w:hAnsi="Arial"/>
                <w:kern w:val="0"/>
                <w:szCs w:val="22"/>
                <w:lang w:val="en-US"/>
              </w:rPr>
              <w:t xml:space="preserve"> ANTI-DEMENTIA DRUGS (except for N06DX02, Ginkgo folium)</w:t>
            </w:r>
          </w:p>
          <w:p>
            <w:pPr>
              <w:pStyle w:val="Normal"/>
              <w:widowControl w:val="false"/>
              <w:spacing w:lineRule="auto" w:line="240" w:before="0" w:after="0"/>
              <w:jc w:val="left"/>
              <w:rPr>
                <w:rFonts w:ascii="Arial" w:hAnsi="Arial"/>
                <w:kern w:val="0"/>
                <w:szCs w:val="22"/>
                <w:lang w:val="en-US"/>
              </w:rPr>
            </w:pPr>
            <w:r>
              <w:rPr>
                <w:rFonts w:ascii="Arial" w:hAnsi="Arial"/>
                <w:b/>
                <w:kern w:val="0"/>
                <w:szCs w:val="22"/>
                <w:lang w:val="en-US"/>
              </w:rPr>
              <w:t xml:space="preserve">N07A </w:t>
            </w:r>
            <w:r>
              <w:rPr>
                <w:rFonts w:ascii="Arial" w:hAnsi="Arial"/>
                <w:kern w:val="0"/>
                <w:szCs w:val="22"/>
                <w:lang w:val="en-US"/>
              </w:rPr>
              <w:t>PARASYMPATHOMIMETICS</w:t>
            </w:r>
          </w:p>
        </w:tc>
        <w:tc>
          <w:tcPr>
            <w:tcW w:w="1559" w:type="dxa"/>
            <w:tcBorders/>
            <w:shd w:color="auto" w:fill="auto" w:val="clear"/>
          </w:tcPr>
          <w:p>
            <w:pPr>
              <w:pStyle w:val="Normal"/>
              <w:widowControl w:val="false"/>
              <w:spacing w:lineRule="auto" w:line="240" w:before="0" w:after="0"/>
              <w:jc w:val="left"/>
              <w:rPr>
                <w:rFonts w:ascii="Arial" w:hAnsi="Arial"/>
                <w:kern w:val="0"/>
                <w:szCs w:val="22"/>
                <w:lang w:val="en-US"/>
              </w:rPr>
            </w:pPr>
            <w:r>
              <w:rPr>
                <w:rFonts w:ascii="Arial" w:hAnsi="Arial"/>
                <w:kern w:val="0"/>
                <w:szCs w:val="22"/>
                <w:lang w:val="en-US"/>
              </w:rPr>
              <w:t>Baseline</w:t>
              <w:br/>
              <w:t>Followup</w:t>
            </w:r>
          </w:p>
        </w:tc>
      </w:tr>
      <w:tr>
        <w:trPr/>
        <w:tc>
          <w:tcPr>
            <w:tcW w:w="2424" w:type="dxa"/>
            <w:tcBorders/>
            <w:shd w:color="auto" w:fill="auto" w:val="clear"/>
          </w:tcPr>
          <w:p>
            <w:pPr>
              <w:pStyle w:val="Normal"/>
              <w:widowControl w:val="false"/>
              <w:spacing w:lineRule="auto" w:line="240" w:before="0" w:after="0"/>
              <w:jc w:val="center"/>
              <w:rPr>
                <w:rFonts w:ascii="Arial" w:hAnsi="Arial"/>
                <w:b/>
                <w:b/>
                <w:kern w:val="0"/>
                <w:szCs w:val="22"/>
                <w:lang w:val="en-US"/>
              </w:rPr>
            </w:pPr>
            <w:r>
              <w:rPr>
                <w:rFonts w:ascii="Arial" w:hAnsi="Arial"/>
                <w:b/>
                <w:kern w:val="0"/>
                <w:szCs w:val="22"/>
                <w:lang w:val="en-US"/>
              </w:rPr>
              <w:t>Used for</w:t>
            </w:r>
          </w:p>
        </w:tc>
        <w:tc>
          <w:tcPr>
            <w:tcW w:w="6637" w:type="dxa"/>
            <w:gridSpan w:val="3"/>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b/>
                <w:kern w:val="0"/>
                <w:szCs w:val="22"/>
              </w:rPr>
              <w:t>Covariates</w:t>
            </w:r>
          </w:p>
        </w:tc>
      </w:tr>
      <w:tr>
        <w:trPr/>
        <w:tc>
          <w:tcPr>
            <w:tcW w:w="2424" w:type="dxa"/>
            <w:vMerge w:val="restart"/>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All analyses</w:t>
            </w:r>
          </w:p>
        </w:tc>
        <w:tc>
          <w:tcPr>
            <w:tcW w:w="195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Baseline Age</w:t>
            </w:r>
          </w:p>
        </w:tc>
        <w:tc>
          <w:tcPr>
            <w:tcW w:w="311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Age at first MRI or cognitive assessment</w:t>
            </w:r>
          </w:p>
        </w:tc>
        <w:tc>
          <w:tcPr>
            <w:tcW w:w="155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Baseline</w:t>
            </w:r>
          </w:p>
        </w:tc>
      </w:tr>
      <w:tr>
        <w:trPr/>
        <w:tc>
          <w:tcPr>
            <w:tcW w:w="2424" w:type="dxa"/>
            <w:vMerge w:val="continue"/>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r>
          </w:p>
        </w:tc>
        <w:tc>
          <w:tcPr>
            <w:tcW w:w="195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Age Change</w:t>
            </w:r>
          </w:p>
        </w:tc>
        <w:tc>
          <w:tcPr>
            <w:tcW w:w="311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Time between first and second MRI assessment</w:t>
            </w:r>
          </w:p>
        </w:tc>
        <w:tc>
          <w:tcPr>
            <w:tcW w:w="155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Baseline</w:t>
            </w:r>
          </w:p>
          <w:p>
            <w:pPr>
              <w:pStyle w:val="Normal"/>
              <w:widowControl w:val="false"/>
              <w:spacing w:lineRule="auto" w:line="240" w:before="0" w:after="0"/>
              <w:jc w:val="center"/>
              <w:rPr>
                <w:rFonts w:ascii="Arial" w:hAnsi="Arial"/>
                <w:kern w:val="0"/>
                <w:szCs w:val="22"/>
              </w:rPr>
            </w:pPr>
            <w:r>
              <w:rPr>
                <w:rFonts w:ascii="Arial" w:hAnsi="Arial"/>
                <w:kern w:val="0"/>
                <w:szCs w:val="22"/>
              </w:rPr>
              <w:t>Followup</w:t>
            </w:r>
          </w:p>
        </w:tc>
      </w:tr>
      <w:tr>
        <w:trPr/>
        <w:tc>
          <w:tcPr>
            <w:tcW w:w="2424" w:type="dxa"/>
            <w:vMerge w:val="continue"/>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r>
          </w:p>
        </w:tc>
        <w:tc>
          <w:tcPr>
            <w:tcW w:w="195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 xml:space="preserve">Gender </w:t>
            </w:r>
          </w:p>
        </w:tc>
        <w:tc>
          <w:tcPr>
            <w:tcW w:w="311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self-reported binary gender</w:t>
            </w:r>
          </w:p>
        </w:tc>
        <w:tc>
          <w:tcPr>
            <w:tcW w:w="155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Baseline</w:t>
            </w:r>
          </w:p>
        </w:tc>
      </w:tr>
      <w:tr>
        <w:trPr/>
        <w:tc>
          <w:tcPr>
            <w:tcW w:w="2424" w:type="dxa"/>
            <w:vMerge w:val="continue"/>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r>
          </w:p>
        </w:tc>
        <w:tc>
          <w:tcPr>
            <w:tcW w:w="195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eTIV</w:t>
            </w:r>
          </w:p>
        </w:tc>
        <w:tc>
          <w:tcPr>
            <w:tcW w:w="311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Estimated total intracranial volume</w:t>
            </w:r>
          </w:p>
        </w:tc>
        <w:tc>
          <w:tcPr>
            <w:tcW w:w="155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Summary value of Baseline and Followup</w:t>
            </w:r>
          </w:p>
        </w:tc>
      </w:tr>
      <w:tr>
        <w:trPr>
          <w:trHeight w:val="784" w:hRule="atLeast"/>
        </w:trPr>
        <w:tc>
          <w:tcPr>
            <w:tcW w:w="2424" w:type="dxa"/>
            <w:vMerge w:val="restart"/>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Model M1</w:t>
            </w:r>
          </w:p>
        </w:tc>
        <w:tc>
          <w:tcPr>
            <w:tcW w:w="1959" w:type="dxa"/>
            <w:vMerge w:val="restart"/>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Hypertensive medication</w:t>
            </w:r>
          </w:p>
        </w:tc>
        <w:tc>
          <w:tcPr>
            <w:tcW w:w="3119" w:type="dxa"/>
            <w:tcBorders/>
            <w:shd w:color="auto" w:fill="auto" w:val="clear"/>
          </w:tcPr>
          <w:p>
            <w:pPr>
              <w:pStyle w:val="Normal"/>
              <w:widowControl w:val="false"/>
              <w:spacing w:lineRule="auto" w:line="240" w:before="0" w:after="0"/>
              <w:jc w:val="left"/>
              <w:rPr>
                <w:rFonts w:ascii="Arial" w:hAnsi="Arial"/>
                <w:kern w:val="0"/>
                <w:szCs w:val="22"/>
              </w:rPr>
            </w:pPr>
            <w:r>
              <w:rPr>
                <w:rFonts w:ascii="Arial" w:hAnsi="Arial"/>
                <w:kern w:val="0"/>
                <w:szCs w:val="22"/>
              </w:rPr>
              <w:t>Medical (T00173) or medication anamnese (D00038)</w:t>
            </w:r>
          </w:p>
          <w:p>
            <w:pPr>
              <w:pStyle w:val="Normal"/>
              <w:widowControl w:val="false"/>
              <w:spacing w:lineRule="auto" w:line="240" w:before="0" w:after="0"/>
              <w:jc w:val="center"/>
              <w:rPr>
                <w:rFonts w:ascii="Arial" w:hAnsi="Arial"/>
                <w:kern w:val="0"/>
                <w:szCs w:val="22"/>
              </w:rPr>
            </w:pPr>
            <w:r>
              <w:rPr>
                <w:rFonts w:ascii="Arial" w:hAnsi="Arial"/>
                <w:kern w:val="0"/>
                <w:szCs w:val="22"/>
              </w:rPr>
              <w:t>Intake of anti-hypertensive medication (ATC code starting with "C02 "C03", "C07", "C08" "C09")</w:t>
            </w:r>
          </w:p>
          <w:p>
            <w:pPr>
              <w:pStyle w:val="Normal"/>
              <w:widowControl w:val="false"/>
              <w:spacing w:lineRule="auto" w:line="240" w:before="0" w:after="0"/>
              <w:jc w:val="center"/>
              <w:rPr>
                <w:rFonts w:ascii="Arial" w:hAnsi="Arial"/>
                <w:kern w:val="0"/>
                <w:szCs w:val="22"/>
              </w:rPr>
            </w:pPr>
            <w:r>
              <w:rPr>
                <w:rFonts w:ascii="Arial" w:hAnsi="Arial"/>
                <w:kern w:val="0"/>
                <w:szCs w:val="22"/>
              </w:rPr>
              <w:t xml:space="preserve">or treatment because of hypertension (MEDANAM_F0039) </w:t>
            </w:r>
          </w:p>
        </w:tc>
        <w:tc>
          <w:tcPr>
            <w:tcW w:w="155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 xml:space="preserve">Baseline </w:t>
            </w:r>
          </w:p>
          <w:p>
            <w:pPr>
              <w:pStyle w:val="Normal"/>
              <w:widowControl w:val="false"/>
              <w:spacing w:lineRule="auto" w:line="240" w:before="0" w:after="0"/>
              <w:jc w:val="center"/>
              <w:rPr>
                <w:rFonts w:ascii="Arial" w:hAnsi="Arial"/>
                <w:kern w:val="0"/>
                <w:szCs w:val="22"/>
              </w:rPr>
            </w:pPr>
            <w:r>
              <w:rPr>
                <w:rFonts w:ascii="Arial" w:hAnsi="Arial"/>
                <w:kern w:val="0"/>
                <w:szCs w:val="22"/>
              </w:rPr>
            </w:r>
          </w:p>
        </w:tc>
      </w:tr>
      <w:tr>
        <w:trPr>
          <w:trHeight w:val="784" w:hRule="atLeast"/>
        </w:trPr>
        <w:tc>
          <w:tcPr>
            <w:tcW w:w="2424" w:type="dxa"/>
            <w:vMerge w:val="continue"/>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r>
          </w:p>
        </w:tc>
        <w:tc>
          <w:tcPr>
            <w:tcW w:w="1959" w:type="dxa"/>
            <w:vMerge w:val="continue"/>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r>
          </w:p>
        </w:tc>
        <w:tc>
          <w:tcPr>
            <w:tcW w:w="311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Medication or cardiovascular</w:t>
            </w:r>
          </w:p>
          <w:p>
            <w:pPr>
              <w:pStyle w:val="Normal"/>
              <w:widowControl w:val="false"/>
              <w:spacing w:lineRule="auto" w:line="240" w:before="0" w:after="0"/>
              <w:jc w:val="center"/>
              <w:rPr>
                <w:rFonts w:ascii="Arial" w:hAnsi="Arial"/>
                <w:kern w:val="0"/>
                <w:szCs w:val="22"/>
              </w:rPr>
            </w:pPr>
            <w:r>
              <w:rPr>
                <w:rFonts w:ascii="Arial" w:hAnsi="Arial"/>
                <w:kern w:val="0"/>
                <w:szCs w:val="22"/>
              </w:rPr>
              <w:t>Anamnese (T01226)</w:t>
            </w:r>
          </w:p>
          <w:p>
            <w:pPr>
              <w:pStyle w:val="Normal"/>
              <w:widowControl w:val="false"/>
              <w:spacing w:lineRule="auto" w:line="240" w:before="0" w:after="0"/>
              <w:jc w:val="center"/>
              <w:rPr>
                <w:rFonts w:ascii="Arial" w:hAnsi="Arial"/>
                <w:kern w:val="0"/>
                <w:szCs w:val="22"/>
              </w:rPr>
            </w:pPr>
            <w:r>
              <w:rPr>
                <w:rFonts w:ascii="Arial" w:hAnsi="Arial"/>
                <w:kern w:val="0"/>
                <w:szCs w:val="22"/>
              </w:rPr>
              <w:t>Intake of anti-hypertensive medication (ATC code starting with "C02 "C03", "C07", "C08" "C09")</w:t>
            </w:r>
          </w:p>
          <w:p>
            <w:pPr>
              <w:pStyle w:val="Normal"/>
              <w:widowControl w:val="false"/>
              <w:spacing w:lineRule="auto" w:line="240" w:before="0" w:after="0"/>
              <w:jc w:val="center"/>
              <w:rPr>
                <w:rFonts w:ascii="Arial" w:hAnsi="Arial"/>
                <w:kern w:val="0"/>
                <w:szCs w:val="22"/>
              </w:rPr>
            </w:pPr>
            <w:r>
              <w:rPr>
                <w:rFonts w:ascii="Arial" w:hAnsi="Arial"/>
                <w:kern w:val="0"/>
                <w:szCs w:val="22"/>
              </w:rPr>
              <w:t>or treatment because of hypertension</w:t>
            </w:r>
          </w:p>
          <w:p>
            <w:pPr>
              <w:pStyle w:val="Normal"/>
              <w:widowControl w:val="false"/>
              <w:spacing w:lineRule="auto" w:line="240" w:before="0" w:after="0"/>
              <w:jc w:val="center"/>
              <w:rPr>
                <w:rFonts w:ascii="Arial" w:hAnsi="Arial"/>
                <w:kern w:val="0"/>
                <w:szCs w:val="22"/>
              </w:rPr>
            </w:pPr>
            <w:r>
              <w:rPr>
                <w:rFonts w:ascii="Arial" w:hAnsi="Arial"/>
                <w:kern w:val="0"/>
                <w:szCs w:val="22"/>
              </w:rPr>
              <w:t>(KARD_AN_F10_3)</w:t>
            </w:r>
          </w:p>
        </w:tc>
        <w:tc>
          <w:tcPr>
            <w:tcW w:w="155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Followup</w:t>
            </w:r>
          </w:p>
        </w:tc>
      </w:tr>
      <w:tr>
        <w:trPr>
          <w:trHeight w:val="631" w:hRule="atLeast"/>
        </w:trPr>
        <w:tc>
          <w:tcPr>
            <w:tcW w:w="2424" w:type="dxa"/>
            <w:vMerge w:val="restart"/>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Model M2</w:t>
            </w:r>
          </w:p>
        </w:tc>
        <w:tc>
          <w:tcPr>
            <w:tcW w:w="1959" w:type="dxa"/>
            <w:vMerge w:val="restart"/>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CES-D (log-transformed)</w:t>
            </w:r>
          </w:p>
        </w:tc>
        <w:tc>
          <w:tcPr>
            <w:tcW w:w="311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D00041</w:t>
            </w:r>
          </w:p>
          <w:p>
            <w:pPr>
              <w:pStyle w:val="Normal"/>
              <w:widowControl w:val="false"/>
              <w:spacing w:lineRule="auto" w:line="240" w:before="0" w:after="0"/>
              <w:jc w:val="center"/>
              <w:rPr>
                <w:rFonts w:ascii="Arial" w:hAnsi="Arial"/>
                <w:kern w:val="0"/>
                <w:szCs w:val="22"/>
              </w:rPr>
            </w:pPr>
            <w:r>
              <w:rPr>
                <w:rFonts w:ascii="Arial" w:hAnsi="Arial"/>
                <w:kern w:val="0"/>
                <w:szCs w:val="22"/>
              </w:rPr>
              <w:t>CES_D_SCORE_SUM</w:t>
            </w:r>
          </w:p>
          <w:p>
            <w:pPr>
              <w:pStyle w:val="Normal"/>
              <w:widowControl w:val="false"/>
              <w:spacing w:lineRule="auto" w:line="240" w:before="0" w:after="0"/>
              <w:jc w:val="center"/>
              <w:rPr>
                <w:rFonts w:ascii="Arial" w:hAnsi="Arial"/>
                <w:kern w:val="0"/>
                <w:szCs w:val="22"/>
              </w:rPr>
            </w:pPr>
            <w:r>
              <w:rPr>
                <w:rFonts w:ascii="Arial" w:hAnsi="Arial"/>
                <w:kern w:val="0"/>
                <w:szCs w:val="22"/>
              </w:rPr>
              <w:t>_CES_D</w:t>
            </w:r>
          </w:p>
        </w:tc>
        <w:tc>
          <w:tcPr>
            <w:tcW w:w="155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Baseline</w:t>
            </w:r>
          </w:p>
          <w:p>
            <w:pPr>
              <w:pStyle w:val="Normal"/>
              <w:widowControl w:val="false"/>
              <w:spacing w:lineRule="auto" w:line="240" w:before="0" w:after="0"/>
              <w:jc w:val="center"/>
              <w:rPr>
                <w:rFonts w:ascii="Arial" w:hAnsi="Arial"/>
                <w:kern w:val="0"/>
                <w:szCs w:val="22"/>
              </w:rPr>
            </w:pPr>
            <w:r>
              <w:rPr>
                <w:rFonts w:ascii="Arial" w:hAnsi="Arial"/>
                <w:kern w:val="0"/>
                <w:szCs w:val="22"/>
              </w:rPr>
            </w:r>
          </w:p>
        </w:tc>
      </w:tr>
      <w:tr>
        <w:trPr>
          <w:trHeight w:val="631" w:hRule="atLeast"/>
        </w:trPr>
        <w:tc>
          <w:tcPr>
            <w:tcW w:w="2424" w:type="dxa"/>
            <w:vMerge w:val="continue"/>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r>
          </w:p>
        </w:tc>
        <w:tc>
          <w:tcPr>
            <w:tcW w:w="1959" w:type="dxa"/>
            <w:vMerge w:val="continue"/>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r>
          </w:p>
        </w:tc>
        <w:tc>
          <w:tcPr>
            <w:tcW w:w="311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T00013</w:t>
            </w:r>
          </w:p>
          <w:p>
            <w:pPr>
              <w:pStyle w:val="Normal"/>
              <w:widowControl w:val="false"/>
              <w:spacing w:lineRule="auto" w:line="240" w:before="0" w:after="0"/>
              <w:jc w:val="center"/>
              <w:rPr>
                <w:rFonts w:ascii="Arial" w:hAnsi="Arial"/>
                <w:kern w:val="0"/>
                <w:szCs w:val="22"/>
              </w:rPr>
            </w:pPr>
            <w:r>
              <w:rPr>
                <w:rFonts w:ascii="Arial" w:hAnsi="Arial"/>
                <w:kern w:val="0"/>
                <w:szCs w:val="22"/>
              </w:rPr>
              <w:t>CES_D_SCORE_SUM</w:t>
            </w:r>
          </w:p>
          <w:p>
            <w:pPr>
              <w:pStyle w:val="Normal"/>
              <w:widowControl w:val="false"/>
              <w:spacing w:lineRule="auto" w:line="240" w:before="0" w:after="0"/>
              <w:jc w:val="center"/>
              <w:rPr>
                <w:rFonts w:ascii="Arial" w:hAnsi="Arial"/>
                <w:kern w:val="0"/>
                <w:szCs w:val="22"/>
              </w:rPr>
            </w:pPr>
            <w:r>
              <w:rPr>
                <w:rFonts w:ascii="Arial" w:hAnsi="Arial"/>
                <w:kern w:val="0"/>
                <w:szCs w:val="22"/>
              </w:rPr>
              <w:t>_CES_D</w:t>
            </w:r>
          </w:p>
        </w:tc>
        <w:tc>
          <w:tcPr>
            <w:tcW w:w="155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Followup</w:t>
            </w:r>
          </w:p>
        </w:tc>
      </w:tr>
      <w:tr>
        <w:trPr/>
        <w:tc>
          <w:tcPr>
            <w:tcW w:w="2424" w:type="dxa"/>
            <w:vMerge w:val="continue"/>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r>
          </w:p>
        </w:tc>
        <w:tc>
          <w:tcPr>
            <w:tcW w:w="195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Education</w:t>
            </w:r>
          </w:p>
        </w:tc>
        <w:tc>
          <w:tcPr>
            <w:tcW w:w="311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socioeconomic status (D00140)</w:t>
            </w:r>
          </w:p>
          <w:p>
            <w:pPr>
              <w:pStyle w:val="Normal"/>
              <w:widowControl w:val="false"/>
              <w:spacing w:lineRule="auto" w:line="240" w:before="0" w:after="0"/>
              <w:jc w:val="center"/>
              <w:rPr>
                <w:rFonts w:ascii="Arial" w:hAnsi="Arial"/>
                <w:kern w:val="0"/>
                <w:szCs w:val="22"/>
              </w:rPr>
            </w:pPr>
            <w:r>
              <w:rPr>
                <w:rFonts w:ascii="Arial" w:hAnsi="Arial"/>
                <w:kern w:val="0"/>
                <w:szCs w:val="22"/>
              </w:rPr>
              <w:t>Binary variable based on whether participant has tertiary degree (SES2_sesbldg)</w:t>
            </w:r>
          </w:p>
        </w:tc>
        <w:tc>
          <w:tcPr>
            <w:tcW w:w="155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Baseline</w:t>
            </w:r>
          </w:p>
        </w:tc>
      </w:tr>
      <w:tr>
        <w:trPr>
          <w:trHeight w:val="435" w:hRule="atLeast"/>
        </w:trPr>
        <w:tc>
          <w:tcPr>
            <w:tcW w:w="2424" w:type="dxa"/>
            <w:tcBorders/>
            <w:shd w:color="auto" w:fill="auto" w:val="clear"/>
          </w:tcPr>
          <w:p>
            <w:pPr>
              <w:pStyle w:val="Normal"/>
              <w:widowControl w:val="false"/>
              <w:spacing w:lineRule="auto" w:line="240" w:before="0" w:after="0"/>
              <w:jc w:val="center"/>
              <w:rPr>
                <w:rFonts w:ascii="Arial" w:hAnsi="Arial"/>
                <w:b/>
                <w:b/>
                <w:kern w:val="0"/>
                <w:szCs w:val="22"/>
              </w:rPr>
            </w:pPr>
            <w:r>
              <w:rPr>
                <w:rFonts w:ascii="Arial" w:hAnsi="Arial"/>
                <w:b/>
                <w:kern w:val="0"/>
                <w:szCs w:val="22"/>
              </w:rPr>
            </w:r>
          </w:p>
        </w:tc>
        <w:tc>
          <w:tcPr>
            <w:tcW w:w="6637" w:type="dxa"/>
            <w:gridSpan w:val="3"/>
            <w:tcBorders/>
            <w:shd w:color="auto" w:fill="auto" w:val="clear"/>
          </w:tcPr>
          <w:p>
            <w:pPr>
              <w:pStyle w:val="Normal"/>
              <w:widowControl w:val="false"/>
              <w:spacing w:lineRule="auto" w:line="240" w:before="0" w:after="0"/>
              <w:jc w:val="center"/>
              <w:rPr>
                <w:rFonts w:ascii="Arial" w:hAnsi="Arial"/>
                <w:b/>
                <w:b/>
                <w:kern w:val="0"/>
                <w:szCs w:val="22"/>
              </w:rPr>
            </w:pPr>
            <w:r>
              <w:rPr>
                <w:rFonts w:ascii="Arial" w:hAnsi="Arial"/>
                <w:b/>
                <w:kern w:val="0"/>
                <w:szCs w:val="22"/>
              </w:rPr>
              <w:t>Predictors of interest</w:t>
            </w:r>
          </w:p>
        </w:tc>
      </w:tr>
      <w:tr>
        <w:trPr>
          <w:trHeight w:val="402" w:hRule="atLeast"/>
        </w:trPr>
        <w:tc>
          <w:tcPr>
            <w:tcW w:w="2424" w:type="dxa"/>
            <w:vMerge w:val="restart"/>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Blood pressure</w:t>
            </w:r>
          </w:p>
        </w:tc>
        <w:tc>
          <w:tcPr>
            <w:tcW w:w="1959" w:type="dxa"/>
            <w:vMerge w:val="restart"/>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Systolic/diastolic blood pressure</w:t>
            </w:r>
          </w:p>
        </w:tc>
        <w:tc>
          <w:tcPr>
            <w:tcW w:w="311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T00049</w:t>
            </w:r>
          </w:p>
          <w:p>
            <w:pPr>
              <w:pStyle w:val="Normal"/>
              <w:widowControl w:val="false"/>
              <w:spacing w:lineRule="auto" w:line="240" w:before="0" w:after="0"/>
              <w:jc w:val="center"/>
              <w:rPr>
                <w:rFonts w:ascii="Arial" w:hAnsi="Arial"/>
                <w:kern w:val="0"/>
                <w:szCs w:val="22"/>
              </w:rPr>
            </w:pPr>
            <w:r>
              <w:rPr>
                <w:rFonts w:ascii="Arial" w:hAnsi="Arial"/>
                <w:kern w:val="0"/>
                <w:szCs w:val="22"/>
              </w:rPr>
              <w:t>Average of three consecutive measurements</w:t>
            </w:r>
          </w:p>
        </w:tc>
        <w:tc>
          <w:tcPr>
            <w:tcW w:w="155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Baseline</w:t>
            </w:r>
          </w:p>
          <w:p>
            <w:pPr>
              <w:pStyle w:val="Normal"/>
              <w:widowControl w:val="false"/>
              <w:spacing w:lineRule="auto" w:line="240" w:before="0" w:after="0"/>
              <w:jc w:val="center"/>
              <w:rPr>
                <w:rFonts w:ascii="Arial" w:hAnsi="Arial"/>
                <w:kern w:val="0"/>
                <w:szCs w:val="22"/>
              </w:rPr>
            </w:pPr>
            <w:r>
              <w:rPr>
                <w:rFonts w:ascii="Arial" w:hAnsi="Arial"/>
                <w:kern w:val="0"/>
                <w:szCs w:val="22"/>
              </w:rPr>
            </w:r>
          </w:p>
        </w:tc>
      </w:tr>
      <w:tr>
        <w:trPr>
          <w:trHeight w:val="401" w:hRule="atLeast"/>
        </w:trPr>
        <w:tc>
          <w:tcPr>
            <w:tcW w:w="2424" w:type="dxa"/>
            <w:vMerge w:val="continue"/>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r>
          </w:p>
        </w:tc>
        <w:tc>
          <w:tcPr>
            <w:tcW w:w="1959" w:type="dxa"/>
            <w:vMerge w:val="continue"/>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r>
          </w:p>
        </w:tc>
        <w:tc>
          <w:tcPr>
            <w:tcW w:w="311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T01170</w:t>
            </w:r>
          </w:p>
          <w:p>
            <w:pPr>
              <w:pStyle w:val="Normal"/>
              <w:widowControl w:val="false"/>
              <w:spacing w:lineRule="auto" w:line="240" w:before="0" w:after="0"/>
              <w:jc w:val="center"/>
              <w:rPr>
                <w:rFonts w:ascii="Arial" w:hAnsi="Arial"/>
                <w:kern w:val="0"/>
                <w:szCs w:val="22"/>
              </w:rPr>
            </w:pPr>
            <w:r>
              <w:rPr>
                <w:rFonts w:ascii="Arial" w:hAnsi="Arial"/>
                <w:kern w:val="0"/>
                <w:szCs w:val="22"/>
              </w:rPr>
              <w:t>Average of three consecutive measurements</w:t>
            </w:r>
          </w:p>
        </w:tc>
        <w:tc>
          <w:tcPr>
            <w:tcW w:w="155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Followup</w:t>
            </w:r>
          </w:p>
        </w:tc>
      </w:tr>
      <w:tr>
        <w:trPr>
          <w:trHeight w:val="316" w:hRule="atLeast"/>
        </w:trPr>
        <w:tc>
          <w:tcPr>
            <w:tcW w:w="2424" w:type="dxa"/>
            <w:vMerge w:val="restart"/>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Visceral adiposity</w:t>
            </w:r>
          </w:p>
        </w:tc>
        <w:tc>
          <w:tcPr>
            <w:tcW w:w="1959" w:type="dxa"/>
            <w:vMerge w:val="restart"/>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Waist-to-hip ratio</w:t>
            </w:r>
          </w:p>
        </w:tc>
        <w:tc>
          <w:tcPr>
            <w:tcW w:w="311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D00074 Anthropometry</w:t>
            </w:r>
          </w:p>
        </w:tc>
        <w:tc>
          <w:tcPr>
            <w:tcW w:w="155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 xml:space="preserve">Baseline </w:t>
            </w:r>
          </w:p>
          <w:p>
            <w:pPr>
              <w:pStyle w:val="Normal"/>
              <w:widowControl w:val="false"/>
              <w:spacing w:lineRule="auto" w:line="240" w:before="0" w:after="0"/>
              <w:jc w:val="center"/>
              <w:rPr>
                <w:rFonts w:ascii="Arial" w:hAnsi="Arial"/>
                <w:kern w:val="0"/>
                <w:szCs w:val="22"/>
              </w:rPr>
            </w:pPr>
            <w:r>
              <w:rPr>
                <w:rFonts w:ascii="Arial" w:hAnsi="Arial"/>
                <w:kern w:val="0"/>
                <w:szCs w:val="22"/>
              </w:rPr>
            </w:r>
          </w:p>
        </w:tc>
      </w:tr>
      <w:tr>
        <w:trPr>
          <w:trHeight w:val="315" w:hRule="atLeast"/>
        </w:trPr>
        <w:tc>
          <w:tcPr>
            <w:tcW w:w="2424" w:type="dxa"/>
            <w:vMerge w:val="continue"/>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r>
          </w:p>
        </w:tc>
        <w:tc>
          <w:tcPr>
            <w:tcW w:w="1959" w:type="dxa"/>
            <w:vMerge w:val="continue"/>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r>
          </w:p>
        </w:tc>
        <w:tc>
          <w:tcPr>
            <w:tcW w:w="311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T01169 Anthropometry</w:t>
            </w:r>
          </w:p>
        </w:tc>
        <w:tc>
          <w:tcPr>
            <w:tcW w:w="155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Followup</w:t>
            </w:r>
          </w:p>
        </w:tc>
      </w:tr>
      <w:tr>
        <w:trPr/>
        <w:tc>
          <w:tcPr>
            <w:tcW w:w="2424"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Cerebral small vessel disease</w:t>
            </w:r>
          </w:p>
        </w:tc>
        <w:tc>
          <w:tcPr>
            <w:tcW w:w="195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WML (asinh-transformed)</w:t>
            </w:r>
          </w:p>
          <w:p>
            <w:pPr>
              <w:pStyle w:val="Normal"/>
              <w:widowControl w:val="false"/>
              <w:spacing w:lineRule="auto" w:line="240" w:before="0" w:after="0"/>
              <w:jc w:val="center"/>
              <w:rPr>
                <w:rFonts w:ascii="Arial" w:hAnsi="Arial"/>
                <w:kern w:val="0"/>
                <w:szCs w:val="22"/>
              </w:rPr>
            </w:pPr>
            <w:r>
              <w:rPr>
                <w:rFonts w:ascii="Arial" w:hAnsi="Arial"/>
                <w:kern w:val="0"/>
                <w:szCs w:val="22"/>
              </w:rPr>
            </w:r>
          </w:p>
          <w:p>
            <w:pPr>
              <w:pStyle w:val="Normal"/>
              <w:widowControl w:val="false"/>
              <w:spacing w:lineRule="auto" w:line="240" w:before="0" w:after="0"/>
              <w:jc w:val="center"/>
              <w:rPr>
                <w:rFonts w:ascii="Arial" w:hAnsi="Arial"/>
                <w:kern w:val="0"/>
                <w:szCs w:val="22"/>
              </w:rPr>
            </w:pPr>
            <w:r>
              <w:rPr>
                <w:rFonts w:ascii="Arial" w:hAnsi="Arial"/>
                <w:kern w:val="0"/>
                <w:szCs w:val="22"/>
              </w:rPr>
              <w:t>Voxelwise probability of new WML</w:t>
            </w:r>
          </w:p>
        </w:tc>
        <w:tc>
          <w:tcPr>
            <w:tcW w:w="311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From FLAIR imaging</w:t>
            </w:r>
          </w:p>
        </w:tc>
        <w:tc>
          <w:tcPr>
            <w:tcW w:w="155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Baseline</w:t>
            </w:r>
          </w:p>
          <w:p>
            <w:pPr>
              <w:pStyle w:val="Normal"/>
              <w:widowControl w:val="false"/>
              <w:spacing w:lineRule="auto" w:line="240" w:before="0" w:after="0"/>
              <w:jc w:val="center"/>
              <w:rPr>
                <w:rFonts w:ascii="Arial" w:hAnsi="Arial"/>
                <w:kern w:val="0"/>
                <w:szCs w:val="22"/>
              </w:rPr>
            </w:pPr>
            <w:r>
              <w:rPr>
                <w:rFonts w:ascii="Arial" w:hAnsi="Arial"/>
                <w:kern w:val="0"/>
                <w:szCs w:val="22"/>
              </w:rPr>
              <w:t>Followup</w:t>
            </w:r>
          </w:p>
        </w:tc>
      </w:tr>
      <w:tr>
        <w:trPr>
          <w:trHeight w:val="631" w:hRule="atLeast"/>
        </w:trPr>
        <w:tc>
          <w:tcPr>
            <w:tcW w:w="2424" w:type="dxa"/>
            <w:vMerge w:val="restart"/>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Memory function</w:t>
            </w:r>
          </w:p>
        </w:tc>
        <w:tc>
          <w:tcPr>
            <w:tcW w:w="1959" w:type="dxa"/>
            <w:vMerge w:val="restart"/>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Cerad learning &amp; delayed recall &amp; recognition</w:t>
            </w:r>
          </w:p>
          <w:p>
            <w:pPr>
              <w:pStyle w:val="Normal"/>
              <w:widowControl w:val="false"/>
              <w:spacing w:lineRule="auto" w:line="240" w:before="0" w:after="0"/>
              <w:jc w:val="center"/>
              <w:rPr>
                <w:rFonts w:ascii="Arial" w:hAnsi="Arial"/>
                <w:kern w:val="0"/>
                <w:szCs w:val="22"/>
              </w:rPr>
            </w:pPr>
            <w:r>
              <w:rPr>
                <w:rFonts w:ascii="Arial" w:hAnsi="Arial"/>
                <w:kern w:val="0"/>
                <w:szCs w:val="22"/>
              </w:rPr>
            </w:r>
          </w:p>
        </w:tc>
        <w:tc>
          <w:tcPr>
            <w:tcW w:w="311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T00044 CERAD-plus test battery</w:t>
            </w:r>
          </w:p>
        </w:tc>
        <w:tc>
          <w:tcPr>
            <w:tcW w:w="155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Baseline</w:t>
            </w:r>
          </w:p>
          <w:p>
            <w:pPr>
              <w:pStyle w:val="Normal"/>
              <w:widowControl w:val="false"/>
              <w:spacing w:lineRule="auto" w:line="240" w:before="0" w:after="0"/>
              <w:jc w:val="center"/>
              <w:rPr>
                <w:rFonts w:ascii="Arial" w:hAnsi="Arial"/>
                <w:kern w:val="0"/>
                <w:szCs w:val="22"/>
              </w:rPr>
            </w:pPr>
            <w:r>
              <w:rPr>
                <w:rFonts w:ascii="Arial" w:hAnsi="Arial"/>
                <w:kern w:val="0"/>
                <w:szCs w:val="22"/>
              </w:rPr>
            </w:r>
          </w:p>
          <w:p>
            <w:pPr>
              <w:pStyle w:val="Normal"/>
              <w:widowControl w:val="false"/>
              <w:spacing w:lineRule="auto" w:line="240" w:before="0" w:after="0"/>
              <w:jc w:val="center"/>
              <w:rPr>
                <w:rFonts w:ascii="Arial" w:hAnsi="Arial"/>
                <w:kern w:val="0"/>
                <w:szCs w:val="22"/>
              </w:rPr>
            </w:pPr>
            <w:r>
              <w:rPr>
                <w:rFonts w:ascii="Arial" w:hAnsi="Arial"/>
                <w:kern w:val="0"/>
                <w:szCs w:val="22"/>
              </w:rPr>
            </w:r>
          </w:p>
        </w:tc>
      </w:tr>
      <w:tr>
        <w:trPr>
          <w:trHeight w:val="631" w:hRule="atLeast"/>
        </w:trPr>
        <w:tc>
          <w:tcPr>
            <w:tcW w:w="2424" w:type="dxa"/>
            <w:vMerge w:val="continue"/>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r>
          </w:p>
        </w:tc>
        <w:tc>
          <w:tcPr>
            <w:tcW w:w="1959" w:type="dxa"/>
            <w:vMerge w:val="continue"/>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r>
          </w:p>
        </w:tc>
        <w:tc>
          <w:tcPr>
            <w:tcW w:w="311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T00044 CERAD-plus test battery</w:t>
            </w:r>
          </w:p>
        </w:tc>
        <w:tc>
          <w:tcPr>
            <w:tcW w:w="155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Followup</w:t>
            </w:r>
          </w:p>
        </w:tc>
      </w:tr>
      <w:tr>
        <w:trPr>
          <w:trHeight w:val="785" w:hRule="atLeast"/>
        </w:trPr>
        <w:tc>
          <w:tcPr>
            <w:tcW w:w="2424" w:type="dxa"/>
            <w:vMerge w:val="restart"/>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Executive function</w:t>
            </w:r>
          </w:p>
        </w:tc>
        <w:tc>
          <w:tcPr>
            <w:tcW w:w="1959" w:type="dxa"/>
            <w:vMerge w:val="restart"/>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CERAD verbal fluency (S and animals)</w:t>
            </w:r>
          </w:p>
          <w:p>
            <w:pPr>
              <w:pStyle w:val="Normal"/>
              <w:widowControl w:val="false"/>
              <w:spacing w:lineRule="auto" w:line="240" w:before="0" w:after="0"/>
              <w:jc w:val="center"/>
              <w:rPr>
                <w:rFonts w:ascii="Arial" w:hAnsi="Arial"/>
                <w:kern w:val="0"/>
                <w:szCs w:val="22"/>
              </w:rPr>
            </w:pPr>
            <w:r>
              <w:rPr>
                <w:rFonts w:ascii="Arial" w:hAnsi="Arial"/>
                <w:kern w:val="0"/>
                <w:szCs w:val="22"/>
              </w:rPr>
              <w:t>TMTB/TMTA</w:t>
            </w:r>
          </w:p>
        </w:tc>
        <w:tc>
          <w:tcPr>
            <w:tcW w:w="3119" w:type="dxa"/>
            <w:vMerge w:val="restart"/>
            <w:tcBorders/>
            <w:shd w:color="auto" w:fill="auto" w:val="clear"/>
          </w:tcPr>
          <w:p>
            <w:pPr>
              <w:pStyle w:val="Normal"/>
              <w:widowControl w:val="false"/>
              <w:spacing w:lineRule="auto" w:line="240" w:before="0" w:after="0"/>
              <w:jc w:val="center"/>
              <w:rPr>
                <w:rFonts w:ascii="Arial" w:hAnsi="Arial"/>
                <w:kern w:val="0"/>
                <w:szCs w:val="22"/>
                <w:lang w:val="en-US"/>
              </w:rPr>
            </w:pPr>
            <w:r>
              <w:rPr>
                <w:rFonts w:ascii="Arial" w:hAnsi="Arial"/>
                <w:kern w:val="0"/>
                <w:szCs w:val="22"/>
                <w:lang w:val="en-US"/>
              </w:rPr>
              <w:t>T00044 CERAD-plus test battery</w:t>
            </w:r>
          </w:p>
          <w:p>
            <w:pPr>
              <w:pStyle w:val="Normal"/>
              <w:widowControl w:val="false"/>
              <w:spacing w:lineRule="auto" w:line="240" w:before="0" w:after="0"/>
              <w:jc w:val="center"/>
              <w:rPr>
                <w:rFonts w:ascii="Arial" w:hAnsi="Arial"/>
                <w:kern w:val="0"/>
                <w:szCs w:val="22"/>
                <w:lang w:val="en-US"/>
              </w:rPr>
            </w:pPr>
            <w:r>
              <w:rPr>
                <w:rFonts w:ascii="Arial" w:hAnsi="Arial"/>
                <w:kern w:val="0"/>
                <w:szCs w:val="22"/>
                <w:lang w:val="en-US"/>
              </w:rPr>
              <w:t>T00042 CERAD Animals</w:t>
            </w:r>
          </w:p>
          <w:p>
            <w:pPr>
              <w:pStyle w:val="Normal"/>
              <w:widowControl w:val="false"/>
              <w:spacing w:lineRule="auto" w:line="240" w:before="0" w:after="0"/>
              <w:jc w:val="center"/>
              <w:rPr>
                <w:rFonts w:ascii="Arial" w:hAnsi="Arial"/>
                <w:kern w:val="0"/>
                <w:szCs w:val="22"/>
                <w:lang w:val="de-DE"/>
              </w:rPr>
            </w:pPr>
            <w:r>
              <w:rPr>
                <w:rFonts w:ascii="Arial" w:hAnsi="Arial"/>
                <w:kern w:val="0"/>
                <w:szCs w:val="22"/>
                <w:lang w:val="de-DE"/>
              </w:rPr>
              <w:t>T00041 TMT</w:t>
            </w:r>
          </w:p>
        </w:tc>
        <w:tc>
          <w:tcPr>
            <w:tcW w:w="155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Baseline</w:t>
            </w:r>
          </w:p>
          <w:p>
            <w:pPr>
              <w:pStyle w:val="Normal"/>
              <w:widowControl w:val="false"/>
              <w:spacing w:lineRule="auto" w:line="240" w:before="0" w:after="0"/>
              <w:jc w:val="center"/>
              <w:rPr>
                <w:rFonts w:ascii="Arial" w:hAnsi="Arial"/>
                <w:kern w:val="0"/>
                <w:szCs w:val="22"/>
              </w:rPr>
            </w:pPr>
            <w:r>
              <w:rPr>
                <w:rFonts w:ascii="Arial" w:hAnsi="Arial"/>
                <w:kern w:val="0"/>
                <w:szCs w:val="22"/>
              </w:rPr>
            </w:r>
          </w:p>
        </w:tc>
      </w:tr>
      <w:tr>
        <w:trPr>
          <w:trHeight w:val="784" w:hRule="atLeast"/>
        </w:trPr>
        <w:tc>
          <w:tcPr>
            <w:tcW w:w="2424" w:type="dxa"/>
            <w:vMerge w:val="continue"/>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r>
          </w:p>
        </w:tc>
        <w:tc>
          <w:tcPr>
            <w:tcW w:w="1959" w:type="dxa"/>
            <w:vMerge w:val="continue"/>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r>
          </w:p>
        </w:tc>
        <w:tc>
          <w:tcPr>
            <w:tcW w:w="3119" w:type="dxa"/>
            <w:vMerge w:val="continue"/>
            <w:tcBorders/>
            <w:shd w:color="auto" w:fill="auto" w:val="clear"/>
          </w:tcPr>
          <w:p>
            <w:pPr>
              <w:pStyle w:val="Normal"/>
              <w:widowControl w:val="false"/>
              <w:spacing w:lineRule="auto" w:line="240" w:before="0" w:after="0"/>
              <w:jc w:val="center"/>
              <w:rPr>
                <w:rFonts w:ascii="Arial" w:hAnsi="Arial"/>
                <w:kern w:val="0"/>
                <w:szCs w:val="22"/>
                <w:lang w:val="en-US"/>
              </w:rPr>
            </w:pPr>
            <w:r>
              <w:rPr>
                <w:rFonts w:ascii="Arial" w:hAnsi="Arial"/>
                <w:kern w:val="0"/>
                <w:szCs w:val="22"/>
                <w:lang w:val="en-US"/>
              </w:rPr>
            </w:r>
          </w:p>
        </w:tc>
        <w:tc>
          <w:tcPr>
            <w:tcW w:w="155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Followup</w:t>
            </w:r>
          </w:p>
        </w:tc>
      </w:tr>
      <w:tr>
        <w:trPr>
          <w:trHeight w:val="316" w:hRule="atLeast"/>
        </w:trPr>
        <w:tc>
          <w:tcPr>
            <w:tcW w:w="2424" w:type="dxa"/>
            <w:vMerge w:val="restart"/>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Processing speed</w:t>
            </w:r>
          </w:p>
        </w:tc>
        <w:tc>
          <w:tcPr>
            <w:tcW w:w="1959" w:type="dxa"/>
            <w:vMerge w:val="restart"/>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TMTA</w:t>
            </w:r>
          </w:p>
        </w:tc>
        <w:tc>
          <w:tcPr>
            <w:tcW w:w="311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lang w:val="de-DE"/>
              </w:rPr>
              <w:t>T00041 TMT</w:t>
            </w:r>
          </w:p>
        </w:tc>
        <w:tc>
          <w:tcPr>
            <w:tcW w:w="155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Baseline</w:t>
            </w:r>
          </w:p>
        </w:tc>
      </w:tr>
      <w:tr>
        <w:trPr>
          <w:trHeight w:val="315" w:hRule="atLeast"/>
        </w:trPr>
        <w:tc>
          <w:tcPr>
            <w:tcW w:w="2424" w:type="dxa"/>
            <w:vMerge w:val="continue"/>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r>
          </w:p>
        </w:tc>
        <w:tc>
          <w:tcPr>
            <w:tcW w:w="1959" w:type="dxa"/>
            <w:vMerge w:val="continue"/>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r>
          </w:p>
        </w:tc>
        <w:tc>
          <w:tcPr>
            <w:tcW w:w="3119" w:type="dxa"/>
            <w:tcBorders/>
            <w:shd w:color="auto" w:fill="auto" w:val="clear"/>
          </w:tcPr>
          <w:p>
            <w:pPr>
              <w:pStyle w:val="Normal"/>
              <w:widowControl w:val="false"/>
              <w:spacing w:lineRule="auto" w:line="240" w:before="0" w:after="0"/>
              <w:jc w:val="center"/>
              <w:rPr>
                <w:rFonts w:ascii="Arial" w:hAnsi="Arial"/>
                <w:kern w:val="0"/>
                <w:szCs w:val="22"/>
                <w:lang w:val="de-DE"/>
              </w:rPr>
            </w:pPr>
            <w:r>
              <w:rPr>
                <w:rFonts w:ascii="Arial" w:hAnsi="Arial"/>
                <w:kern w:val="0"/>
                <w:szCs w:val="22"/>
                <w:lang w:val="de-DE"/>
              </w:rPr>
              <w:t>T00041 TMT</w:t>
            </w:r>
          </w:p>
        </w:tc>
        <w:tc>
          <w:tcPr>
            <w:tcW w:w="1559" w:type="dxa"/>
            <w:tcBorders/>
            <w:shd w:color="auto" w:fill="auto" w:val="clear"/>
          </w:tcPr>
          <w:p>
            <w:pPr>
              <w:pStyle w:val="Normal"/>
              <w:widowControl w:val="false"/>
              <w:spacing w:lineRule="auto" w:line="240" w:before="0" w:after="0"/>
              <w:jc w:val="center"/>
              <w:rPr>
                <w:rFonts w:ascii="Arial" w:hAnsi="Arial"/>
                <w:kern w:val="0"/>
                <w:szCs w:val="22"/>
              </w:rPr>
            </w:pPr>
            <w:r>
              <w:rPr>
                <w:rFonts w:ascii="Arial" w:hAnsi="Arial"/>
                <w:kern w:val="0"/>
                <w:szCs w:val="22"/>
              </w:rPr>
              <w:t>Followup</w:t>
            </w:r>
          </w:p>
        </w:tc>
      </w:tr>
    </w:tbl>
    <w:p>
      <w:pPr>
        <w:pStyle w:val="Normal"/>
        <w:rPr>
          <w:rFonts w:ascii="Arial" w:hAnsi="Arial"/>
        </w:rPr>
      </w:pPr>
      <w:r>
        <w:rPr>
          <w:rFonts w:ascii="Arial" w:hAnsi="Arial"/>
        </w:rPr>
      </w:r>
      <w:r>
        <w:br w:type="page"/>
      </w:r>
    </w:p>
    <w:p>
      <w:pPr>
        <w:pStyle w:val="Heading1"/>
        <w:rPr/>
      </w:pPr>
      <w:r>
        <w:rPr/>
        <w:t>References</w:t>
      </w:r>
    </w:p>
    <w:p>
      <w:pPr>
        <w:pStyle w:val="Bibliography"/>
        <w:spacing w:before="0" w:after="200"/>
        <w:rPr/>
      </w:pPr>
      <w:r>
        <w:rPr/>
        <w:t xml:space="preserve">Debette, S., S. Seshadri, A. Beiser, R. Au, J. J. Himali, C. Palumbo, P. A. Wolf, and C. DeCarli. 2011. “Midlife Vascular Risk Factor Exposure Accelerates Structural Brain Aging and Cognitive Decline.” </w:t>
      </w:r>
      <w:r>
        <w:rPr>
          <w:i/>
          <w:iCs/>
        </w:rPr>
        <w:t>Neurology</w:t>
      </w:r>
      <w:r>
        <w:rPr/>
        <w:t xml:space="preserve"> 77 (5): 461–68. </w:t>
      </w:r>
      <w:hyperlink r:id="rId10">
        <w:r>
          <w:rPr>
            <w:rStyle w:val="InternetLink"/>
          </w:rPr>
          <w:t>https://doi.org/10.1212/WNL.0b013e318227b227</w:t>
        </w:r>
      </w:hyperlink>
      <w:r>
        <w:rPr/>
        <w:t>.</w:t>
      </w:r>
    </w:p>
    <w:sectPr>
      <w:type w:val="nextPage"/>
      <w:pgSz w:w="12240" w:h="15840"/>
      <w:pgMar w:left="1440" w:right="1440" w:header="0" w:top="1440" w:footer="0"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Arial">
    <w:charset w:val="01"/>
    <w:family w:val="roman"/>
    <w:pitch w:val="variable"/>
  </w:font>
  <w:font w:name="DejaVu Sans">
    <w:charset w:val="01"/>
    <w:family w:val="roman"/>
    <w:pitch w:val="variable"/>
  </w:font>
  <w:font w:name="Arial">
    <w:charset w:val="01"/>
    <w:family w:val="swiss"/>
    <w:pitch w:val="variable"/>
  </w:font>
</w:fonts>
</file>

<file path=word/settings.xml><?xml version="1.0" encoding="utf-8"?>
<w:settings xmlns:w="http://schemas.openxmlformats.org/wordprocessingml/2006/main">
  <w:zoom w:percent="51"/>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8F5902"/>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b/>
      <w:color w:val="CE5C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b/>
      <w:color w:val="204A87"/>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204A87"/>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paragraph" w:styleId="Heading">
    <w:name w:val="Heading"/>
    <w:basedOn w:val="Normal"/>
    <w:next w:val="TextBody"/>
    <w:qFormat/>
    <w:pPr>
      <w:keepNext w:val="true"/>
      <w:spacing w:before="240" w:after="120"/>
    </w:pPr>
    <w:rPr>
      <w:rFonts w:ascii="Liberation Sans" w:hAnsi="Liberation Sans" w:eastAsia="Bitstream Vera Sans" w:cs="FreeSans"/>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FreeSans"/>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FreeSans"/>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hyperlink" Target="https://doi.org/10.1212/WNL.0b013e318227b227" TargetMode="Externa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Application>LibreOffice/7.0.4.2$Linux_X86_64 LibreOffice_project/00$Build-2</Application>
  <AppVersion>15.0000</AppVersion>
  <Pages>22</Pages>
  <Words>1479</Words>
  <Characters>8944</Characters>
  <CharactersWithSpaces>10075</CharactersWithSpaces>
  <Paragraphs>378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2024-02-21T12:39:00Z</dcterms:created>
  <dc:creator>Frauke Beyer, PhD [1][2]; Laurenz Lammer [2]; Markus Loeffler [4][5]; Steffi Riedel-Heller [5][6]; Stéphanie Debette [1]; Arno Villringer, Prof. [2][7]; A. Veronica Witte, PhD [2][3][7]</dc:creator>
  <dc:description/>
  <dc:language>en-US</dc:language>
  <cp:lastModifiedBy/>
  <dcterms:modified xsi:type="dcterms:W3CDTF">2024-02-21T13:59:09Z</dcterms:modified>
  <cp:revision>3</cp:revision>
  <dc:subject/>
  <dc:title>Supplements for Investigating the impact of vascular risk factors on the progression of white matter hyperintensities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references_2211.bib</vt:lpwstr>
  </property>
  <property fmtid="{D5CDD505-2E9C-101B-9397-08002B2CF9AE}" pid="4" name="bookdocumentclass">
    <vt:lpwstr>article</vt:lpwstr>
  </property>
  <property fmtid="{D5CDD505-2E9C-101B-9397-08002B2CF9AE}" pid="5" name="date">
    <vt:lpwstr>1 Bordeaux Population Health Research Center, University of Bordeaux, Inserm, UMR 1219, Bordeaux, France  Department of Neurology, Max Planck Institute for Human Cognitive and Brain Sciences, Leipzig  CRC 1052 “Obesity Mechanisms”, Subproject A1, University of Leipzig  Institute for Medical Informatics, Statistics and Epidemiology; University of Leipzig  Leipzig Research Centre for Civilisation Diseases (LIFE), Leipzig  Institute of Social Medicine, Occupational Health and Public Health, University of Leipzig , Leipzig  Day Clinic for Cognitive Neurology, University Hospital Leipzig, University of Leipzig</vt:lpwstr>
  </property>
  <property fmtid="{D5CDD505-2E9C-101B-9397-08002B2CF9AE}" pid="6" name="editor_options">
    <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